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4" w:rsidRPr="003C5C71" w:rsidRDefault="00243274" w:rsidP="003C5C71">
      <w:pPr>
        <w:pStyle w:val="ac"/>
        <w:jc w:val="right"/>
        <w:rPr>
          <w:b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C71" w:rsidRPr="003C5C71">
        <w:rPr>
          <w:b/>
          <w:szCs w:val="28"/>
        </w:rPr>
        <w:t>ПРОЕКТ</w:t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  <w:r w:rsidRPr="00C0155F">
        <w:rPr>
          <w:noProof/>
          <w:sz w:val="32"/>
          <w:szCs w:val="32"/>
        </w:rPr>
        <w:drawing>
          <wp:inline distT="0" distB="0" distL="0" distR="0" wp14:anchorId="3FA2FC51" wp14:editId="6AB6988C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74" w:rsidRDefault="00243274" w:rsidP="00243274">
      <w:pPr>
        <w:pStyle w:val="ac"/>
        <w:ind w:right="282"/>
        <w:rPr>
          <w:sz w:val="32"/>
          <w:szCs w:val="32"/>
        </w:rPr>
      </w:pP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243274" w:rsidRPr="00AA6E45" w:rsidRDefault="00243274" w:rsidP="00243274">
      <w:pPr>
        <w:pStyle w:val="ac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243274" w:rsidRPr="00C73EC0" w:rsidRDefault="00243274" w:rsidP="00243274">
      <w:pPr>
        <w:pStyle w:val="ac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243274" w:rsidRPr="007B1195" w:rsidRDefault="00243274" w:rsidP="00243274">
      <w:pPr>
        <w:pStyle w:val="ac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243274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43274" w:rsidRPr="00D04D3A" w:rsidRDefault="00243274" w:rsidP="00243274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43274" w:rsidRPr="00C73EC0" w:rsidRDefault="00243274" w:rsidP="00243274">
      <w:pPr>
        <w:ind w:right="282"/>
        <w:rPr>
          <w:b/>
          <w:sz w:val="28"/>
          <w:szCs w:val="28"/>
        </w:rPr>
      </w:pPr>
    </w:p>
    <w:p w:rsidR="00243274" w:rsidRPr="00C0155F" w:rsidRDefault="00A50CC8" w:rsidP="00243274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№ ____от_____</w:t>
      </w:r>
      <w:r w:rsidR="00243274">
        <w:rPr>
          <w:rFonts w:ascii="Times New Roman" w:hAnsi="Times New Roman" w:cs="Times New Roman"/>
          <w:b/>
          <w:i/>
          <w:sz w:val="36"/>
          <w:szCs w:val="36"/>
        </w:rPr>
        <w:t>2017</w:t>
      </w:r>
      <w:r w:rsidR="00243274"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года г. п. Кузьмоловский </w:t>
      </w:r>
    </w:p>
    <w:p w:rsidR="00243274" w:rsidRPr="0096047B" w:rsidRDefault="00243274" w:rsidP="00243274">
      <w:pPr>
        <w:spacing w:after="0"/>
        <w:ind w:right="282"/>
        <w:jc w:val="center"/>
        <w:rPr>
          <w:b/>
          <w:sz w:val="28"/>
          <w:szCs w:val="28"/>
        </w:rPr>
      </w:pPr>
    </w:p>
    <w:p w:rsidR="00243274" w:rsidRPr="00D04D3A" w:rsidRDefault="00243274" w:rsidP="00243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</w:t>
      </w:r>
      <w:r w:rsidR="00A50CC8">
        <w:rPr>
          <w:rFonts w:ascii="Times New Roman" w:hAnsi="Times New Roman" w:cs="Times New Roman"/>
          <w:sz w:val="28"/>
          <w:szCs w:val="28"/>
        </w:rPr>
        <w:t>епутатов от 04.06.2015 г. № 240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  201</w:t>
      </w:r>
      <w:r w:rsidR="008305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CC8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вет депутатов</w:t>
      </w:r>
      <w:proofErr w:type="gram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243274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Pr="0086104E" w:rsidRDefault="00243274" w:rsidP="0024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3274" w:rsidRPr="00307B8B" w:rsidRDefault="00243274" w:rsidP="0024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</w:t>
      </w:r>
      <w:r w:rsidR="00A50CC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50C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521A">
        <w:rPr>
          <w:rFonts w:ascii="Times New Roman" w:hAnsi="Times New Roman" w:cs="Times New Roman"/>
          <w:sz w:val="28"/>
          <w:szCs w:val="28"/>
        </w:rPr>
        <w:t>а 2016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150382,1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156770,9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6388,8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>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 w:rsidRPr="00307B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243274" w:rsidRPr="00307B8B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243274" w:rsidRPr="009B14E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3;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год согласно приложению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F7E6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F7E6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E68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E6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год  согласно приложению 7;</w:t>
      </w:r>
    </w:p>
    <w:p w:rsidR="00243274" w:rsidRPr="006F7E68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E68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7E6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07B8B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43274" w:rsidRDefault="00243274" w:rsidP="0024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E4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CC8">
        <w:rPr>
          <w:rFonts w:ascii="Times New Roman" w:hAnsi="Times New Roman" w:cs="Times New Roman"/>
          <w:sz w:val="28"/>
          <w:szCs w:val="28"/>
        </w:rPr>
        <w:t>, приложение к газете «Всеволожские вести»,</w:t>
      </w:r>
      <w:r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A50CC8" w:rsidRDefault="00243274" w:rsidP="00A50C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A50CC8" w:rsidRDefault="00243274" w:rsidP="00A50C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43274" w:rsidRPr="00A50CC8" w:rsidRDefault="00243274" w:rsidP="00A50C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</w:t>
      </w:r>
      <w:r w:rsidR="00A50CC8">
        <w:rPr>
          <w:rFonts w:ascii="Times New Roman" w:hAnsi="Times New Roman" w:cs="Times New Roman"/>
          <w:sz w:val="28"/>
          <w:szCs w:val="28"/>
        </w:rPr>
        <w:t xml:space="preserve">янную депутатскую комиссию по </w:t>
      </w:r>
      <w:r w:rsidRPr="00307B8B">
        <w:rPr>
          <w:rFonts w:ascii="Times New Roman" w:hAnsi="Times New Roman" w:cs="Times New Roman"/>
          <w:sz w:val="28"/>
          <w:szCs w:val="28"/>
        </w:rPr>
        <w:t>бюджету, налогам, инвестициям и экономическому развитию.</w:t>
      </w:r>
    </w:p>
    <w:p w:rsidR="00243274" w:rsidRDefault="00243274" w:rsidP="0024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B0" w:rsidRPr="005E47C1" w:rsidRDefault="00243274" w:rsidP="00243274"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A50CC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3F87">
        <w:rPr>
          <w:rFonts w:ascii="Times New Roman" w:eastAsia="Times New Roman" w:hAnsi="Times New Roman" w:cs="Times New Roman"/>
          <w:sz w:val="28"/>
          <w:szCs w:val="28"/>
        </w:rPr>
        <w:t>В.В. Воронин</w:t>
      </w:r>
    </w:p>
    <w:p w:rsidR="005E47C1" w:rsidRPr="005E47C1" w:rsidRDefault="005E47C1"/>
    <w:p w:rsidR="005E47C1" w:rsidRPr="005E47C1" w:rsidRDefault="005E47C1"/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 xml:space="preserve">от_____________ 2016 г.  № ___       </w:t>
      </w: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2016 год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142"/>
        <w:gridCol w:w="1416"/>
        <w:gridCol w:w="1813"/>
      </w:tblGrid>
      <w:tr w:rsidR="005E47C1" w:rsidRPr="005E47C1" w:rsidTr="005E47C1"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Исполнение за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7C1" w:rsidRPr="005E47C1" w:rsidTr="005E47C1">
        <w:trPr>
          <w:trHeight w:val="890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  <w:tr w:rsidR="005E47C1" w:rsidRPr="005E47C1" w:rsidTr="005E47C1">
        <w:trPr>
          <w:trHeight w:val="1016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5E47C1" w:rsidRPr="005E47C1" w:rsidRDefault="005E47C1" w:rsidP="005E4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-6585,9</w:t>
            </w:r>
          </w:p>
        </w:tc>
      </w:tr>
      <w:tr w:rsidR="00456AE4" w:rsidRPr="005E47C1" w:rsidTr="005E47C1">
        <w:trPr>
          <w:trHeight w:val="701"/>
        </w:trPr>
        <w:tc>
          <w:tcPr>
            <w:tcW w:w="3120" w:type="dxa"/>
          </w:tcPr>
          <w:p w:rsidR="00456AE4" w:rsidRPr="005E47C1" w:rsidRDefault="00456AE4" w:rsidP="0045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456AE4" w:rsidRPr="005E47C1" w:rsidRDefault="00456AE4" w:rsidP="00456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</w:tbl>
    <w:p w:rsidR="005E47C1" w:rsidRPr="006714C2" w:rsidRDefault="005E47C1" w:rsidP="005E47C1">
      <w:pPr>
        <w:jc w:val="center"/>
        <w:rPr>
          <w:sz w:val="28"/>
          <w:szCs w:val="28"/>
        </w:rPr>
      </w:pPr>
    </w:p>
    <w:p w:rsidR="005E47C1" w:rsidRPr="005E47C1" w:rsidRDefault="005E47C1">
      <w:pPr>
        <w:rPr>
          <w:lang w:val="en-US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7C1">
        <w:rPr>
          <w:rFonts w:ascii="Times New Roman" w:hAnsi="Times New Roman" w:cs="Times New Roman"/>
          <w:sz w:val="28"/>
          <w:szCs w:val="28"/>
        </w:rPr>
        <w:t xml:space="preserve">г.  № ___       </w:t>
      </w: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ДОХОДЫ</w:t>
      </w:r>
    </w:p>
    <w:p w:rsidR="005E47C1" w:rsidRDefault="00A50CC8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r w:rsidR="005E47C1" w:rsidRPr="005E47C1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зьмоловское городское поселение»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Всеволожский район  Ленинградской области на 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3"/>
        <w:gridCol w:w="3756"/>
        <w:gridCol w:w="1526"/>
        <w:gridCol w:w="1559"/>
      </w:tblGrid>
      <w:tr w:rsidR="005E47C1" w:rsidRPr="005E47C1" w:rsidTr="005E47C1">
        <w:trPr>
          <w:trHeight w:val="13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2016г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5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182 10102000010000100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-налоги на доходы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182 10300000000000000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4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182 10302000000000100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47 931,70</w:t>
            </w:r>
          </w:p>
        </w:tc>
      </w:tr>
      <w:tr w:rsidR="005E47C1" w:rsidRPr="005E47C1" w:rsidTr="005E47C1">
        <w:trPr>
          <w:trHeight w:val="4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182 10601000000000100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2 797,8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2 991,30</w:t>
            </w:r>
          </w:p>
        </w:tc>
      </w:tr>
      <w:tr w:rsidR="005E47C1" w:rsidRPr="005E47C1" w:rsidTr="005E47C1">
        <w:trPr>
          <w:trHeight w:val="72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182 10606000000000100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44 577,6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44 940,40</w:t>
            </w:r>
          </w:p>
        </w:tc>
      </w:tr>
      <w:tr w:rsidR="005E47C1" w:rsidRPr="005E47C1" w:rsidTr="005E47C1">
        <w:trPr>
          <w:trHeight w:val="117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001 11100000000000000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11 918,6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12 834,70</w:t>
            </w:r>
          </w:p>
        </w:tc>
      </w:tr>
      <w:tr w:rsidR="005E47C1" w:rsidRPr="005E47C1" w:rsidTr="005E47C1">
        <w:trPr>
          <w:trHeight w:val="238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001 11105013130000100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6 526,7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6 584,80</w:t>
            </w:r>
          </w:p>
        </w:tc>
      </w:tr>
      <w:tr w:rsidR="005E47C1" w:rsidRPr="005E47C1" w:rsidTr="005E47C1">
        <w:trPr>
          <w:trHeight w:val="1692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001 11105075130000100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6 249,90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001 11300000000000100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001 11301995100000100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001 11400000000000000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11 601,4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11 757,80</w:t>
            </w:r>
          </w:p>
        </w:tc>
      </w:tr>
      <w:tr w:rsidR="005E47C1" w:rsidRPr="005E47C1" w:rsidTr="005E47C1">
        <w:trPr>
          <w:trHeight w:val="26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001 11402053100000400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9 865,80</w:t>
            </w:r>
          </w:p>
        </w:tc>
      </w:tr>
      <w:tr w:rsidR="005E47C1" w:rsidRPr="005E47C1" w:rsidTr="005E47C1">
        <w:trPr>
          <w:trHeight w:val="174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001 11406013130000400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1 735,60</w:t>
            </w:r>
          </w:p>
        </w:tc>
      </w:tr>
      <w:tr w:rsidR="005E47C1" w:rsidRPr="005E47C1" w:rsidTr="005E47C1">
        <w:trPr>
          <w:trHeight w:val="24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001 11406313130000430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451,10</w:t>
            </w:r>
          </w:p>
        </w:tc>
      </w:tr>
      <w:tr w:rsidR="005E47C1" w:rsidRPr="005E47C1" w:rsidTr="005E47C1">
        <w:trPr>
          <w:trHeight w:val="22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001 11633050130000 140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001 11701050130000 180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</w:t>
            </w:r>
          </w:p>
        </w:tc>
      </w:tr>
      <w:tr w:rsidR="005E47C1" w:rsidRPr="005E47C1" w:rsidTr="005E47C1">
        <w:trPr>
          <w:trHeight w:val="214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001 20202999130000 100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17 114,4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001 20705030130000100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</w:tbl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7C1">
        <w:rPr>
          <w:rFonts w:ascii="Times New Roman" w:hAnsi="Times New Roman" w:cs="Times New Roman"/>
          <w:sz w:val="28"/>
          <w:szCs w:val="28"/>
        </w:rPr>
        <w:t xml:space="preserve">г.  № ___ 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 бюджет</w:t>
      </w:r>
      <w:r w:rsidR="00A50CC8">
        <w:rPr>
          <w:rFonts w:ascii="Times New Roman" w:hAnsi="Times New Roman" w:cs="Times New Roman"/>
          <w:sz w:val="28"/>
          <w:szCs w:val="28"/>
        </w:rPr>
        <w:t>ов других уровней в  бюджет МО «</w:t>
      </w:r>
      <w:r w:rsidRPr="005E47C1">
        <w:rPr>
          <w:rFonts w:ascii="Times New Roman" w:hAnsi="Times New Roman" w:cs="Times New Roman"/>
          <w:sz w:val="28"/>
          <w:szCs w:val="28"/>
        </w:rPr>
        <w:t>Ку</w:t>
      </w:r>
      <w:r w:rsidR="00A50CC8">
        <w:rPr>
          <w:rFonts w:ascii="Times New Roman" w:hAnsi="Times New Roman" w:cs="Times New Roman"/>
          <w:sz w:val="28"/>
          <w:szCs w:val="28"/>
        </w:rPr>
        <w:t>зьмоловское городское поселение»</w:t>
      </w:r>
      <w:r w:rsidRPr="005E47C1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711"/>
        <w:gridCol w:w="1676"/>
        <w:gridCol w:w="1667"/>
      </w:tblGrid>
      <w:tr w:rsidR="005E47C1" w:rsidRPr="005E47C1" w:rsidTr="005E47C1">
        <w:trPr>
          <w:trHeight w:val="13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  <w:tr w:rsidR="005E47C1" w:rsidRPr="005E47C1" w:rsidTr="005E47C1">
        <w:trPr>
          <w:trHeight w:val="214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9 401,90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001 20202999130000 100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17 114,40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001 20705030130000100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613,70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</w:tbl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</w:t>
      </w:r>
      <w:r w:rsidR="00A50CC8">
        <w:rPr>
          <w:rFonts w:ascii="Times New Roman" w:hAnsi="Times New Roman" w:cs="Times New Roman"/>
          <w:sz w:val="28"/>
          <w:szCs w:val="28"/>
        </w:rPr>
        <w:t>та  муниципального образования «</w:t>
      </w:r>
      <w:r w:rsidRPr="005E47C1">
        <w:rPr>
          <w:rFonts w:ascii="Times New Roman" w:hAnsi="Times New Roman" w:cs="Times New Roman"/>
          <w:sz w:val="28"/>
          <w:szCs w:val="28"/>
        </w:rPr>
        <w:t>Куз</w:t>
      </w:r>
      <w:r w:rsidR="00A50CC8">
        <w:rPr>
          <w:rFonts w:ascii="Times New Roman" w:hAnsi="Times New Roman" w:cs="Times New Roman"/>
          <w:sz w:val="28"/>
          <w:szCs w:val="28"/>
        </w:rPr>
        <w:t>ьмоловское городского поселения»</w:t>
      </w:r>
      <w:r w:rsidRPr="005E47C1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709"/>
        <w:gridCol w:w="709"/>
        <w:gridCol w:w="1276"/>
        <w:gridCol w:w="1242"/>
      </w:tblGrid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2016 г.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74 650,9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73 941,3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7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A17977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и  искусственных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E47C1" w:rsidRPr="005E47C1" w:rsidTr="005E47C1">
        <w:trPr>
          <w:trHeight w:val="66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источников электроснабжения (дизель-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26 294,5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26 078,0</w:t>
            </w:r>
          </w:p>
        </w:tc>
      </w:tr>
      <w:tr w:rsidR="005E47C1" w:rsidRPr="005E47C1" w:rsidTr="005E47C1">
        <w:trPr>
          <w:trHeight w:val="48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приобретение объектов недвижимого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Управление имущественными и земельными отношениями на территории МО "Кузьмоловское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поселение"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48 018,3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47 782,6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5E47C1" w:rsidRPr="005E47C1" w:rsidTr="005E47C1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5191,40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47C1" w:rsidRPr="005E47C1" w:rsidTr="005E47C1">
        <w:trPr>
          <w:trHeight w:val="703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5E47C1" w:rsidRPr="005E47C1" w:rsidTr="005E47C1">
        <w:trPr>
          <w:trHeight w:val="129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88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33 056,3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30 988,9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5E47C1" w:rsidRPr="005E47C1" w:rsidTr="005E47C1">
        <w:trPr>
          <w:trHeight w:val="42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твенных (муниципальных)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156 770,9</w:t>
            </w:r>
          </w:p>
        </w:tc>
      </w:tr>
    </w:tbl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A50CC8">
        <w:rPr>
          <w:rFonts w:ascii="Times New Roman" w:hAnsi="Times New Roman" w:cs="Times New Roman"/>
          <w:sz w:val="28"/>
          <w:szCs w:val="28"/>
        </w:rPr>
        <w:t xml:space="preserve"> </w:t>
      </w:r>
      <w:r w:rsidRPr="00A17977">
        <w:rPr>
          <w:rFonts w:ascii="Times New Roman" w:hAnsi="Times New Roman" w:cs="Times New Roman"/>
          <w:sz w:val="28"/>
          <w:szCs w:val="28"/>
        </w:rPr>
        <w:t>(группам и подгруппам) видов расходов бюджета муниципального образования "</w:t>
      </w:r>
      <w:r w:rsidR="00A50CC8">
        <w:rPr>
          <w:rFonts w:ascii="Times New Roman" w:hAnsi="Times New Roman" w:cs="Times New Roman"/>
          <w:sz w:val="28"/>
          <w:szCs w:val="28"/>
        </w:rPr>
        <w:t>»</w:t>
      </w:r>
      <w:r w:rsidRPr="00A17977">
        <w:rPr>
          <w:rFonts w:ascii="Times New Roman" w:hAnsi="Times New Roman" w:cs="Times New Roman"/>
          <w:sz w:val="28"/>
          <w:szCs w:val="28"/>
        </w:rPr>
        <w:t>Ку</w:t>
      </w:r>
      <w:r w:rsidR="00A50CC8">
        <w:rPr>
          <w:rFonts w:ascii="Times New Roman" w:hAnsi="Times New Roman" w:cs="Times New Roman"/>
          <w:sz w:val="28"/>
          <w:szCs w:val="28"/>
        </w:rPr>
        <w:t>зьмоловское городское поселение»</w:t>
      </w:r>
      <w:r w:rsidRPr="00A17977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573"/>
        <w:gridCol w:w="595"/>
        <w:gridCol w:w="1558"/>
        <w:gridCol w:w="701"/>
        <w:gridCol w:w="1254"/>
        <w:gridCol w:w="1242"/>
      </w:tblGrid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2016 г. 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36 225,1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19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6 703,1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2016 году"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Ленингра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7977" w:rsidRPr="00A17977" w:rsidTr="00A17977">
        <w:trPr>
          <w:trHeight w:val="120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58 521,6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жилового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A17977" w:rsidRPr="00A17977" w:rsidTr="00A17977">
        <w:trPr>
          <w:trHeight w:val="9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переселению граждан из аварийного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общей расселяемой площади аварийных многоквартирных жилых домов по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 региона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Обеспечение мероприятий по капитальному ремонту многоквартирных домов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31 673,8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приобретение автономных источников электроснабжения (дизель-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геннераторов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A17977" w:rsidRPr="00A17977" w:rsidTr="00A17977">
        <w:trPr>
          <w:trHeight w:val="16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ий культуры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3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5191,4</w:t>
            </w:r>
          </w:p>
        </w:tc>
      </w:tr>
      <w:tr w:rsidR="00A17977" w:rsidRPr="00A17977" w:rsidTr="00A17977">
        <w:trPr>
          <w:trHeight w:val="477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22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A17977" w:rsidRPr="00A17977" w:rsidTr="00A17977">
        <w:trPr>
          <w:trHeight w:val="714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A17977" w:rsidRPr="00A17977" w:rsidTr="00A17977">
        <w:trPr>
          <w:trHeight w:val="19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7977" w:rsidRPr="00A17977" w:rsidTr="00A17977">
        <w:trPr>
          <w:trHeight w:val="78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12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A17977" w:rsidRPr="00A17977" w:rsidTr="00A17977">
        <w:trPr>
          <w:trHeight w:val="9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A17977" w:rsidRPr="00A17977" w:rsidTr="00A17977">
        <w:trPr>
          <w:trHeight w:val="3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от_____________ 2016 г.  № ___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ВЕДОМСТВЕННАЯ   СТРУКТУРА  РАСХОДОВ</w:t>
      </w: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r w:rsidR="00A50CC8">
        <w:rPr>
          <w:rFonts w:ascii="Times New Roman" w:hAnsi="Times New Roman" w:cs="Times New Roman"/>
          <w:sz w:val="28"/>
          <w:szCs w:val="28"/>
        </w:rPr>
        <w:t>«</w:t>
      </w:r>
      <w:r w:rsidRPr="00A17977">
        <w:rPr>
          <w:rFonts w:ascii="Times New Roman" w:hAnsi="Times New Roman" w:cs="Times New Roman"/>
          <w:sz w:val="28"/>
          <w:szCs w:val="28"/>
        </w:rPr>
        <w:t>Кузьмоловское городское  поселение</w:t>
      </w:r>
      <w:r w:rsidR="00A50CC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1797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2016 год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381"/>
        <w:gridCol w:w="619"/>
        <w:gridCol w:w="676"/>
        <w:gridCol w:w="569"/>
        <w:gridCol w:w="1560"/>
        <w:gridCol w:w="709"/>
        <w:gridCol w:w="1276"/>
        <w:gridCol w:w="1242"/>
      </w:tblGrid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85F22" w:rsidRPr="00985F22" w:rsidTr="00985F22">
        <w:trPr>
          <w:trHeight w:val="703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155 853,7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152 841,0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32 295,2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30 227,8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самоуправления-глава 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6 703,1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1 886,4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1 207,8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мероприятие-ремонт, проектирование, 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12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и проведение мероприятий, посвященных дню образования ЛО на ремонт асфальто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58 521,6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оплату превышения стоимости одного квадратного метра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 из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превышения стоимости одного квадратного метра 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31 673,8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28 288,2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приобретение автономных источни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ков электроснабжения (дизель-ге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нераторов)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городских поселений за счет средств МБ"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5 191,4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  публичных нормативных социальных выплат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C01BBF">
        <w:trPr>
          <w:trHeight w:val="561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22" w:rsidRPr="00A17977" w:rsidRDefault="00985F22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F22" w:rsidRPr="00A1797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1E1A97"/>
    <w:rsid w:val="00232C8F"/>
    <w:rsid w:val="00243274"/>
    <w:rsid w:val="002B6C7F"/>
    <w:rsid w:val="00307B8B"/>
    <w:rsid w:val="003418BF"/>
    <w:rsid w:val="0034677D"/>
    <w:rsid w:val="0035351D"/>
    <w:rsid w:val="003B5215"/>
    <w:rsid w:val="003C5C71"/>
    <w:rsid w:val="003E638A"/>
    <w:rsid w:val="00400FA9"/>
    <w:rsid w:val="00426066"/>
    <w:rsid w:val="00433F87"/>
    <w:rsid w:val="00456AE4"/>
    <w:rsid w:val="00497832"/>
    <w:rsid w:val="004D44F7"/>
    <w:rsid w:val="00520392"/>
    <w:rsid w:val="0052763F"/>
    <w:rsid w:val="005801FB"/>
    <w:rsid w:val="005D30AF"/>
    <w:rsid w:val="005E32E6"/>
    <w:rsid w:val="005E47C1"/>
    <w:rsid w:val="005F5285"/>
    <w:rsid w:val="0060326C"/>
    <w:rsid w:val="00607303"/>
    <w:rsid w:val="00613374"/>
    <w:rsid w:val="006300FD"/>
    <w:rsid w:val="006F7E68"/>
    <w:rsid w:val="007568FB"/>
    <w:rsid w:val="00784CCF"/>
    <w:rsid w:val="007B33A1"/>
    <w:rsid w:val="007C3B41"/>
    <w:rsid w:val="00805BFB"/>
    <w:rsid w:val="008305BB"/>
    <w:rsid w:val="0083285A"/>
    <w:rsid w:val="0086104E"/>
    <w:rsid w:val="00875EB8"/>
    <w:rsid w:val="008979B2"/>
    <w:rsid w:val="008B2927"/>
    <w:rsid w:val="008C0E6F"/>
    <w:rsid w:val="00985F22"/>
    <w:rsid w:val="009A22EB"/>
    <w:rsid w:val="00A17977"/>
    <w:rsid w:val="00A2162E"/>
    <w:rsid w:val="00A50CC8"/>
    <w:rsid w:val="00A8755E"/>
    <w:rsid w:val="00AB56AA"/>
    <w:rsid w:val="00AE6C27"/>
    <w:rsid w:val="00B94B08"/>
    <w:rsid w:val="00B97CF1"/>
    <w:rsid w:val="00BC2865"/>
    <w:rsid w:val="00BD76FD"/>
    <w:rsid w:val="00BF3B92"/>
    <w:rsid w:val="00C01BBF"/>
    <w:rsid w:val="00C020B0"/>
    <w:rsid w:val="00C4250F"/>
    <w:rsid w:val="00CA7951"/>
    <w:rsid w:val="00CB4A6D"/>
    <w:rsid w:val="00D04C04"/>
    <w:rsid w:val="00D20907"/>
    <w:rsid w:val="00D3708E"/>
    <w:rsid w:val="00D52342"/>
    <w:rsid w:val="00D63ADD"/>
    <w:rsid w:val="00DE47DF"/>
    <w:rsid w:val="00DE6974"/>
    <w:rsid w:val="00E10ABD"/>
    <w:rsid w:val="00E86833"/>
    <w:rsid w:val="00EB792A"/>
    <w:rsid w:val="00F3521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1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4">
    <w:name w:val="xl104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432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Subtitle"/>
    <w:basedOn w:val="a"/>
    <w:link w:val="ad"/>
    <w:qFormat/>
    <w:rsid w:val="00243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2432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1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4">
    <w:name w:val="xl104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432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Subtitle"/>
    <w:basedOn w:val="a"/>
    <w:link w:val="ad"/>
    <w:qFormat/>
    <w:rsid w:val="00243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2432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E148-D9AC-4AEB-9842-E1486FA1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62</Pages>
  <Words>14862</Words>
  <Characters>84717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Оля</cp:lastModifiedBy>
  <cp:revision>5</cp:revision>
  <cp:lastPrinted>2016-05-16T15:57:00Z</cp:lastPrinted>
  <dcterms:created xsi:type="dcterms:W3CDTF">2017-11-08T18:47:00Z</dcterms:created>
  <dcterms:modified xsi:type="dcterms:W3CDTF">2017-11-29T10:00:00Z</dcterms:modified>
</cp:coreProperties>
</file>