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3E" w:rsidRDefault="006F4CCF" w:rsidP="00E844D7">
      <w:pPr>
        <w:tabs>
          <w:tab w:val="left" w:pos="62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C178C4">
        <w:rPr>
          <w:bCs/>
          <w:sz w:val="28"/>
          <w:szCs w:val="28"/>
        </w:rPr>
        <w:t xml:space="preserve">                          </w:t>
      </w:r>
    </w:p>
    <w:p w:rsidR="00152B2B" w:rsidRDefault="00152B2B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A6773E" w:rsidRPr="009B3954" w:rsidRDefault="00A6773E" w:rsidP="00A6773E">
      <w:pPr>
        <w:autoSpaceDN w:val="0"/>
        <w:jc w:val="center"/>
        <w:rPr>
          <w:color w:val="000000"/>
          <w:sz w:val="28"/>
          <w:szCs w:val="28"/>
        </w:rPr>
      </w:pPr>
      <w:r w:rsidRPr="009B3954">
        <w:rPr>
          <w:noProof/>
          <w:color w:val="333333"/>
          <w:sz w:val="28"/>
          <w:szCs w:val="28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3E" w:rsidRPr="009B3954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  <w:lang w:eastAsia="ar-SA"/>
        </w:rPr>
      </w:pPr>
      <w:r w:rsidRPr="009B3954">
        <w:rPr>
          <w:noProof/>
          <w:color w:val="333333"/>
          <w:sz w:val="28"/>
          <w:szCs w:val="28"/>
          <w:lang w:eastAsia="ar-SA"/>
        </w:rPr>
        <w:t>МУНИЦИПАЛЬНОЕ ОБРАЗОВАНИЕ</w:t>
      </w:r>
    </w:p>
    <w:p w:rsidR="00A6773E" w:rsidRPr="009B3954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  <w:lang w:eastAsia="ar-SA"/>
        </w:rPr>
      </w:pPr>
      <w:r w:rsidRPr="009B3954">
        <w:rPr>
          <w:noProof/>
          <w:color w:val="333333"/>
          <w:sz w:val="28"/>
          <w:szCs w:val="28"/>
          <w:lang w:eastAsia="ar-SA"/>
        </w:rPr>
        <w:t>КУЗЬМОЛОВСКОЕ ГОРОДСКОЕ ПОСЕЛЕНИЕ</w:t>
      </w:r>
    </w:p>
    <w:p w:rsidR="00A6773E" w:rsidRPr="009B3954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  <w:lang w:eastAsia="ar-SA"/>
        </w:rPr>
      </w:pPr>
      <w:r w:rsidRPr="009B3954">
        <w:rPr>
          <w:noProof/>
          <w:color w:val="333333"/>
          <w:sz w:val="28"/>
          <w:szCs w:val="28"/>
          <w:lang w:eastAsia="ar-SA"/>
        </w:rPr>
        <w:t>ВСЕВОЛОЖСКОГО МУНИЦИПАЛЬНОГО РАЙОНА</w:t>
      </w:r>
    </w:p>
    <w:p w:rsidR="00A6773E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  <w:lang w:eastAsia="ar-SA"/>
        </w:rPr>
      </w:pPr>
      <w:r w:rsidRPr="009B3954">
        <w:rPr>
          <w:noProof/>
          <w:color w:val="333333"/>
          <w:sz w:val="28"/>
          <w:szCs w:val="28"/>
          <w:lang w:eastAsia="ar-SA"/>
        </w:rPr>
        <w:t>ЛЕНИНГРАДСКОЙ ОБЛАСТИ</w:t>
      </w:r>
    </w:p>
    <w:p w:rsidR="00A6773E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  <w:lang w:eastAsia="ar-SA"/>
        </w:rPr>
      </w:pPr>
      <w:r w:rsidRPr="009B3954">
        <w:rPr>
          <w:b/>
          <w:noProof/>
          <w:color w:val="333333"/>
          <w:sz w:val="28"/>
          <w:szCs w:val="28"/>
          <w:lang w:eastAsia="ar-SA"/>
        </w:rPr>
        <w:t>А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Д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М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И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Н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И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С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Т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Р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А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Ц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И</w:t>
      </w:r>
      <w:r w:rsidR="00F728DD">
        <w:rPr>
          <w:b/>
          <w:noProof/>
          <w:color w:val="333333"/>
          <w:sz w:val="28"/>
          <w:szCs w:val="28"/>
          <w:lang w:eastAsia="ar-SA"/>
        </w:rPr>
        <w:t xml:space="preserve"> </w:t>
      </w:r>
      <w:r w:rsidRPr="009B3954">
        <w:rPr>
          <w:b/>
          <w:noProof/>
          <w:color w:val="333333"/>
          <w:sz w:val="28"/>
          <w:szCs w:val="28"/>
          <w:lang w:eastAsia="ar-SA"/>
        </w:rPr>
        <w:t>Я</w:t>
      </w:r>
    </w:p>
    <w:p w:rsidR="00F728DD" w:rsidRPr="009B3954" w:rsidRDefault="00F728DD" w:rsidP="00A6773E">
      <w:pPr>
        <w:widowControl w:val="0"/>
        <w:suppressAutoHyphens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  <w:lang w:eastAsia="ar-SA"/>
        </w:rPr>
      </w:pPr>
    </w:p>
    <w:p w:rsidR="00A6773E" w:rsidRPr="009B3954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  <w:lang w:eastAsia="ar-SA"/>
        </w:rPr>
      </w:pPr>
      <w:r w:rsidRPr="009B3954">
        <w:rPr>
          <w:b/>
          <w:noProof/>
          <w:color w:val="333333"/>
          <w:sz w:val="28"/>
          <w:szCs w:val="28"/>
          <w:lang w:eastAsia="ar-SA"/>
        </w:rPr>
        <w:t>П О С Т А Н О В Л Е Н И Е</w:t>
      </w:r>
    </w:p>
    <w:p w:rsidR="00A6773E" w:rsidRPr="009B3954" w:rsidRDefault="00A6773E" w:rsidP="00A6773E">
      <w:pPr>
        <w:widowControl w:val="0"/>
        <w:suppressAutoHyphens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  <w:lang w:eastAsia="ar-SA"/>
        </w:rPr>
      </w:pPr>
    </w:p>
    <w:p w:rsidR="00A6773E" w:rsidRPr="008A6E9C" w:rsidRDefault="00DA3111" w:rsidP="00A6773E">
      <w:pPr>
        <w:widowControl w:val="0"/>
        <w:shd w:val="clear" w:color="auto" w:fill="FFFFFF"/>
        <w:tabs>
          <w:tab w:val="left" w:pos="8222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u w:val="single"/>
          <w:lang w:eastAsia="ar-SA"/>
        </w:rPr>
      </w:pPr>
      <w:r>
        <w:rPr>
          <w:sz w:val="26"/>
          <w:szCs w:val="26"/>
          <w:u w:val="single"/>
        </w:rPr>
        <w:t>25.08</w:t>
      </w:r>
      <w:r w:rsidR="00453770" w:rsidRPr="00090820">
        <w:rPr>
          <w:sz w:val="26"/>
          <w:szCs w:val="26"/>
          <w:u w:val="single"/>
        </w:rPr>
        <w:t>.20</w:t>
      </w:r>
      <w:r w:rsidR="00245C27" w:rsidRPr="00090820">
        <w:rPr>
          <w:sz w:val="26"/>
          <w:szCs w:val="26"/>
          <w:u w:val="single"/>
        </w:rPr>
        <w:t>23</w:t>
      </w:r>
      <w:r w:rsidR="00453770" w:rsidRPr="00090820">
        <w:rPr>
          <w:sz w:val="26"/>
          <w:szCs w:val="26"/>
          <w:u w:val="single"/>
        </w:rPr>
        <w:t xml:space="preserve"> </w:t>
      </w:r>
      <w:r w:rsidR="00A6773E" w:rsidRPr="00090820">
        <w:rPr>
          <w:sz w:val="24"/>
          <w:szCs w:val="24"/>
          <w:lang w:eastAsia="ar-SA"/>
        </w:rPr>
        <w:tab/>
      </w:r>
      <w:r w:rsidR="00090820">
        <w:rPr>
          <w:sz w:val="24"/>
          <w:szCs w:val="24"/>
          <w:lang w:eastAsia="ar-SA"/>
        </w:rPr>
        <w:t xml:space="preserve">       </w:t>
      </w:r>
      <w:r w:rsidR="00A6773E" w:rsidRPr="00090820">
        <w:rPr>
          <w:sz w:val="24"/>
          <w:szCs w:val="24"/>
          <w:lang w:eastAsia="ar-SA"/>
        </w:rPr>
        <w:t>№</w:t>
      </w:r>
      <w:r>
        <w:rPr>
          <w:sz w:val="24"/>
          <w:szCs w:val="24"/>
          <w:u w:val="single"/>
          <w:lang w:eastAsia="ar-SA"/>
        </w:rPr>
        <w:t>41</w:t>
      </w:r>
      <w:r w:rsidR="00417ED5">
        <w:rPr>
          <w:sz w:val="24"/>
          <w:szCs w:val="24"/>
          <w:u w:val="single"/>
          <w:lang w:eastAsia="ar-SA"/>
        </w:rPr>
        <w:t>7</w:t>
      </w:r>
    </w:p>
    <w:p w:rsidR="00A6773E" w:rsidRPr="00152B2B" w:rsidRDefault="00A6773E" w:rsidP="00A6773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proofErr w:type="spellStart"/>
      <w:r w:rsidRPr="00152B2B">
        <w:rPr>
          <w:sz w:val="24"/>
          <w:szCs w:val="24"/>
          <w:lang w:eastAsia="ar-SA"/>
        </w:rPr>
        <w:t>г.п</w:t>
      </w:r>
      <w:proofErr w:type="spellEnd"/>
      <w:r w:rsidRPr="00152B2B">
        <w:rPr>
          <w:sz w:val="24"/>
          <w:szCs w:val="24"/>
          <w:lang w:eastAsia="ar-SA"/>
        </w:rPr>
        <w:t>. Кузьмоловский</w:t>
      </w:r>
    </w:p>
    <w:p w:rsidR="00A6773E" w:rsidRPr="00152B2B" w:rsidRDefault="00A6773E" w:rsidP="00A67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178C4" w:rsidRPr="000D54F9" w:rsidRDefault="000D54F9" w:rsidP="00E17F41">
      <w:pPr>
        <w:tabs>
          <w:tab w:val="left" w:pos="3828"/>
        </w:tabs>
        <w:ind w:right="3685"/>
        <w:jc w:val="both"/>
        <w:rPr>
          <w:color w:val="080808"/>
          <w:sz w:val="26"/>
          <w:szCs w:val="26"/>
        </w:rPr>
      </w:pPr>
      <w:r w:rsidRPr="000D54F9">
        <w:rPr>
          <w:color w:val="080808"/>
          <w:sz w:val="26"/>
          <w:szCs w:val="26"/>
        </w:rPr>
        <w:t>О внесении изменений в муниципальную программу</w:t>
      </w:r>
      <w:r w:rsidR="00C178C4" w:rsidRPr="000D54F9">
        <w:rPr>
          <w:color w:val="080808"/>
          <w:sz w:val="26"/>
          <w:szCs w:val="26"/>
        </w:rPr>
        <w:t xml:space="preserve"> </w:t>
      </w:r>
      <w:r w:rsidR="00930A1F" w:rsidRPr="00930A1F">
        <w:rPr>
          <w:color w:val="080808"/>
          <w:sz w:val="26"/>
          <w:szCs w:val="26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</w:t>
      </w:r>
      <w:r w:rsidR="00930A1F">
        <w:rPr>
          <w:color w:val="080808"/>
          <w:sz w:val="26"/>
          <w:szCs w:val="26"/>
        </w:rPr>
        <w:t>дской области на 2023-2025 годы</w:t>
      </w:r>
      <w:r w:rsidR="008264D3" w:rsidRPr="008264D3">
        <w:rPr>
          <w:color w:val="080808"/>
          <w:sz w:val="26"/>
          <w:szCs w:val="26"/>
        </w:rPr>
        <w:t>»</w:t>
      </w:r>
      <w:r w:rsidRPr="000D54F9">
        <w:rPr>
          <w:color w:val="080808"/>
          <w:sz w:val="26"/>
          <w:szCs w:val="26"/>
        </w:rPr>
        <w:t xml:space="preserve">, утвержденную постановлением администрации </w:t>
      </w:r>
      <w:r w:rsidR="00C178C4" w:rsidRPr="000D54F9">
        <w:rPr>
          <w:color w:val="080808"/>
          <w:sz w:val="26"/>
          <w:szCs w:val="26"/>
        </w:rPr>
        <w:t>№</w:t>
      </w:r>
      <w:r w:rsidR="00245C27">
        <w:rPr>
          <w:color w:val="080808"/>
          <w:sz w:val="26"/>
          <w:szCs w:val="26"/>
        </w:rPr>
        <w:t>25</w:t>
      </w:r>
      <w:r w:rsidR="00930A1F">
        <w:rPr>
          <w:color w:val="080808"/>
          <w:sz w:val="26"/>
          <w:szCs w:val="26"/>
        </w:rPr>
        <w:t>1</w:t>
      </w:r>
      <w:r w:rsidR="00C178C4" w:rsidRPr="000D54F9">
        <w:rPr>
          <w:color w:val="080808"/>
          <w:sz w:val="26"/>
          <w:szCs w:val="26"/>
        </w:rPr>
        <w:t xml:space="preserve"> от 1</w:t>
      </w:r>
      <w:r w:rsidR="00245C27">
        <w:rPr>
          <w:color w:val="080808"/>
          <w:sz w:val="26"/>
          <w:szCs w:val="26"/>
        </w:rPr>
        <w:t>6</w:t>
      </w:r>
      <w:r w:rsidR="00C178C4" w:rsidRPr="000D54F9">
        <w:rPr>
          <w:color w:val="080808"/>
          <w:sz w:val="26"/>
          <w:szCs w:val="26"/>
        </w:rPr>
        <w:t>.1</w:t>
      </w:r>
      <w:r w:rsidR="00245C27">
        <w:rPr>
          <w:color w:val="080808"/>
          <w:sz w:val="26"/>
          <w:szCs w:val="26"/>
        </w:rPr>
        <w:t>2</w:t>
      </w:r>
      <w:r w:rsidR="00C178C4" w:rsidRPr="000D54F9">
        <w:rPr>
          <w:color w:val="080808"/>
          <w:sz w:val="26"/>
          <w:szCs w:val="26"/>
        </w:rPr>
        <w:t>.202</w:t>
      </w:r>
      <w:r w:rsidR="00245C27">
        <w:rPr>
          <w:color w:val="080808"/>
          <w:sz w:val="26"/>
          <w:szCs w:val="26"/>
        </w:rPr>
        <w:t>2</w:t>
      </w:r>
      <w:r w:rsidR="008A6E9C" w:rsidRPr="000D54F9">
        <w:rPr>
          <w:color w:val="080808"/>
          <w:sz w:val="26"/>
          <w:szCs w:val="26"/>
        </w:rPr>
        <w:t xml:space="preserve"> года</w:t>
      </w:r>
      <w:r w:rsidR="00C178C4" w:rsidRPr="000D54F9">
        <w:rPr>
          <w:color w:val="080808"/>
          <w:sz w:val="26"/>
          <w:szCs w:val="26"/>
        </w:rPr>
        <w:t xml:space="preserve"> </w:t>
      </w:r>
    </w:p>
    <w:p w:rsidR="00A6773E" w:rsidRPr="00152B2B" w:rsidRDefault="00A6773E" w:rsidP="00152B2B">
      <w:pPr>
        <w:pStyle w:val="af2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329" w:rsidRDefault="00C178C4" w:rsidP="0081452F">
      <w:pPr>
        <w:pStyle w:val="p7"/>
        <w:shd w:val="clear" w:color="auto" w:fill="FFFFFF"/>
        <w:spacing w:before="0" w:beforeAutospacing="0" w:after="0" w:afterAutospacing="0"/>
        <w:ind w:right="1" w:firstLine="708"/>
        <w:jc w:val="both"/>
        <w:rPr>
          <w:color w:val="080808"/>
          <w:sz w:val="26"/>
          <w:szCs w:val="26"/>
        </w:rPr>
      </w:pPr>
      <w:r w:rsidRPr="006F76B4">
        <w:rPr>
          <w:color w:val="080808"/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</w:t>
      </w:r>
      <w:r w:rsidR="00A63E02">
        <w:rPr>
          <w:color w:val="080808"/>
          <w:sz w:val="26"/>
          <w:szCs w:val="26"/>
        </w:rPr>
        <w:t>ого</w:t>
      </w:r>
      <w:r w:rsidRPr="006F76B4">
        <w:rPr>
          <w:color w:val="080808"/>
          <w:sz w:val="26"/>
          <w:szCs w:val="26"/>
        </w:rPr>
        <w:t xml:space="preserve"> образовани</w:t>
      </w:r>
      <w:r w:rsidR="00A63E02">
        <w:rPr>
          <w:color w:val="080808"/>
          <w:sz w:val="26"/>
          <w:szCs w:val="26"/>
        </w:rPr>
        <w:t>я</w:t>
      </w:r>
      <w:r w:rsidRPr="006F76B4">
        <w:rPr>
          <w:color w:val="080808"/>
          <w:sz w:val="26"/>
          <w:szCs w:val="26"/>
        </w:rPr>
        <w:t xml:space="preserve"> Кузьмоловское городское поселение Всеволожского муниципального района Ленинградской области, утвержденным постановлением администрации муниципального образования Кузьмоловское городское поселение Всеволожского муниципального района Ленинградской области от 24 ноября 2020 года №155, администрация </w:t>
      </w:r>
      <w:r w:rsidR="00700E74">
        <w:rPr>
          <w:color w:val="080808"/>
          <w:sz w:val="26"/>
          <w:szCs w:val="26"/>
        </w:rPr>
        <w:t>МО Кузьмоловское ГП</w:t>
      </w:r>
    </w:p>
    <w:p w:rsidR="00C178C4" w:rsidRPr="006F76B4" w:rsidRDefault="00C178C4" w:rsidP="00930A1F">
      <w:pPr>
        <w:pStyle w:val="p7"/>
        <w:shd w:val="clear" w:color="auto" w:fill="FFFFFF"/>
        <w:spacing w:before="0" w:beforeAutospacing="0" w:after="0" w:afterAutospacing="0"/>
        <w:ind w:right="1"/>
        <w:jc w:val="both"/>
        <w:rPr>
          <w:color w:val="080808"/>
          <w:sz w:val="26"/>
          <w:szCs w:val="26"/>
        </w:rPr>
      </w:pPr>
      <w:r w:rsidRPr="006F76B4">
        <w:rPr>
          <w:color w:val="080808"/>
          <w:sz w:val="26"/>
          <w:szCs w:val="26"/>
        </w:rPr>
        <w:t xml:space="preserve">п о с </w:t>
      </w:r>
      <w:proofErr w:type="gramStart"/>
      <w:r w:rsidRPr="006F76B4">
        <w:rPr>
          <w:color w:val="080808"/>
          <w:sz w:val="26"/>
          <w:szCs w:val="26"/>
        </w:rPr>
        <w:t>т</w:t>
      </w:r>
      <w:proofErr w:type="gramEnd"/>
      <w:r w:rsidRPr="006F76B4">
        <w:rPr>
          <w:color w:val="080808"/>
          <w:sz w:val="26"/>
          <w:szCs w:val="26"/>
        </w:rPr>
        <w:t xml:space="preserve"> а н о в л я е т:</w:t>
      </w:r>
    </w:p>
    <w:p w:rsidR="008264D3" w:rsidRDefault="00C178C4" w:rsidP="00930A1F">
      <w:pPr>
        <w:pStyle w:val="ConsPlusTitle"/>
        <w:numPr>
          <w:ilvl w:val="0"/>
          <w:numId w:val="15"/>
        </w:numPr>
        <w:ind w:left="0" w:right="1" w:firstLine="993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6F76B4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Внести в муниципальную программу </w:t>
      </w:r>
      <w:r w:rsidR="00930A1F" w:rsidRP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Ленинградской области на 2023</w:t>
      </w:r>
      <w:r w:rsid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-2025 годы»</w:t>
      </w:r>
      <w:r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, </w:t>
      </w:r>
      <w:r w:rsidR="00BA43D4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утвержденную постановлени</w:t>
      </w:r>
      <w:r w:rsidR="00E13806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ем администрации от 1</w:t>
      </w:r>
      <w:r w:rsidR="00245C27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6</w:t>
      </w:r>
      <w:r w:rsidR="00E13806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.1</w:t>
      </w:r>
      <w:r w:rsidR="00245C27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2</w:t>
      </w:r>
      <w:r w:rsidR="00E13806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.202</w:t>
      </w:r>
      <w:r w:rsidR="00245C27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2</w:t>
      </w:r>
      <w:r w:rsidR="00E13806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 w:rsidR="00BA43D4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№</w:t>
      </w:r>
      <w:r w:rsidR="00245C27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25</w:t>
      </w:r>
      <w:r w:rsid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1</w:t>
      </w:r>
      <w:r w:rsidR="00C511A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(в редакции от 23.06.2023 №282)</w:t>
      </w:r>
      <w:r w:rsidR="00BA43D4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, </w:t>
      </w:r>
      <w:r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с</w:t>
      </w:r>
      <w:r w:rsidR="001545E1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ледующие изменения:</w:t>
      </w:r>
    </w:p>
    <w:p w:rsidR="00C178C4" w:rsidRDefault="00921178" w:rsidP="00930A1F">
      <w:pPr>
        <w:pStyle w:val="ConsPlusTitle"/>
        <w:numPr>
          <w:ilvl w:val="1"/>
          <w:numId w:val="15"/>
        </w:numPr>
        <w:ind w:left="0" w:right="1" w:firstLine="710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В таблице паспорта муниципальной программы </w:t>
      </w:r>
      <w:r w:rsidR="00930A1F" w:rsidRP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Ленинградской области на 2023-2025 годы»</w:t>
      </w:r>
      <w:r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строку</w:t>
      </w:r>
      <w:r w:rsidR="001545E1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«Объемы бюджетных ассигнований муниципальной программы»</w:t>
      </w:r>
      <w:r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 w:rsidR="001545E1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изложить в </w:t>
      </w:r>
      <w:r w:rsidR="0097790B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следующей</w:t>
      </w:r>
      <w:r w:rsidR="001545E1" w:rsidRPr="008264D3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редакции:</w:t>
      </w:r>
    </w:p>
    <w:p w:rsidR="00E844D7" w:rsidRPr="008264D3" w:rsidRDefault="00E844D7" w:rsidP="00E844D7">
      <w:pPr>
        <w:pStyle w:val="ConsPlusTitle"/>
        <w:ind w:left="843" w:right="1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«</w:t>
      </w:r>
    </w:p>
    <w:tbl>
      <w:tblPr>
        <w:tblW w:w="9781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1545E1" w:rsidRPr="00DB6ED4" w:rsidTr="00A0055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45E1" w:rsidRPr="00635941" w:rsidRDefault="001545E1" w:rsidP="00C37E58">
            <w:pPr>
              <w:pStyle w:val="af4"/>
              <w:snapToGrid w:val="0"/>
              <w:jc w:val="center"/>
              <w:rPr>
                <w:sz w:val="26"/>
                <w:szCs w:val="26"/>
              </w:rPr>
            </w:pPr>
          </w:p>
          <w:p w:rsidR="001545E1" w:rsidRPr="00635941" w:rsidRDefault="008264D3" w:rsidP="00336329">
            <w:pPr>
              <w:pStyle w:val="af4"/>
              <w:jc w:val="left"/>
              <w:rPr>
                <w:sz w:val="26"/>
                <w:szCs w:val="26"/>
              </w:rPr>
            </w:pPr>
            <w:r w:rsidRPr="00635941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F57" w:rsidRPr="00813F57" w:rsidRDefault="00813F57" w:rsidP="00813F57">
            <w:pPr>
              <w:jc w:val="both"/>
              <w:rPr>
                <w:color w:val="080808"/>
                <w:sz w:val="26"/>
                <w:szCs w:val="26"/>
              </w:rPr>
            </w:pPr>
            <w:r w:rsidRPr="00813F57">
              <w:rPr>
                <w:color w:val="080808"/>
                <w:sz w:val="26"/>
                <w:szCs w:val="26"/>
              </w:rPr>
              <w:t xml:space="preserve">Объем бюджетных ассигнований Программы составляет в бюджете 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 xml:space="preserve">МО </w:t>
            </w:r>
            <w:proofErr w:type="spellStart"/>
            <w:r w:rsidRPr="00C511A3">
              <w:rPr>
                <w:color w:val="080808"/>
                <w:sz w:val="26"/>
                <w:szCs w:val="26"/>
              </w:rPr>
              <w:t>Кузьмоловское</w:t>
            </w:r>
            <w:proofErr w:type="spellEnd"/>
            <w:r w:rsidRPr="00C511A3">
              <w:rPr>
                <w:color w:val="080808"/>
                <w:sz w:val="26"/>
                <w:szCs w:val="26"/>
              </w:rPr>
              <w:t xml:space="preserve"> ГП– 188 876,9 тыс. руб.,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ОБ – 158 400,0 тыс. руб.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МБ – 30 476,9 тыс. руб.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в том числе по годам: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2023</w:t>
            </w:r>
            <w:r w:rsidRPr="00C511A3">
              <w:rPr>
                <w:color w:val="080808"/>
                <w:sz w:val="26"/>
                <w:szCs w:val="26"/>
              </w:rPr>
              <w:tab/>
              <w:t>год МБ – 181 866,9 тыс. руб.,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ОБ – 158 400,0 тыс. руб.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МБ – 23 466,9 тыс. руб.</w:t>
            </w:r>
          </w:p>
          <w:p w:rsidR="00C511A3" w:rsidRPr="00C511A3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 xml:space="preserve">2024 год МБ – 3 505,0 тыс. руб., </w:t>
            </w:r>
          </w:p>
          <w:p w:rsidR="001545E1" w:rsidRPr="00112DDD" w:rsidRDefault="00C511A3" w:rsidP="00C511A3">
            <w:pPr>
              <w:jc w:val="both"/>
              <w:rPr>
                <w:color w:val="080808"/>
                <w:sz w:val="26"/>
                <w:szCs w:val="26"/>
              </w:rPr>
            </w:pPr>
            <w:r w:rsidRPr="00C511A3">
              <w:rPr>
                <w:color w:val="080808"/>
                <w:sz w:val="26"/>
                <w:szCs w:val="26"/>
              </w:rPr>
              <w:t>2025 год МБ – 3 505,0 тыс. руб.</w:t>
            </w:r>
          </w:p>
        </w:tc>
      </w:tr>
    </w:tbl>
    <w:p w:rsidR="00E844D7" w:rsidRDefault="00E844D7" w:rsidP="00E844D7">
      <w:pPr>
        <w:pStyle w:val="ConsPlusTitle"/>
        <w:ind w:left="710" w:right="1"/>
        <w:jc w:val="right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E844D7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».</w:t>
      </w:r>
    </w:p>
    <w:p w:rsidR="00B5492E" w:rsidRDefault="00B5492E" w:rsidP="00B5492E">
      <w:pPr>
        <w:pStyle w:val="ConsPlusTitle"/>
        <w:numPr>
          <w:ilvl w:val="1"/>
          <w:numId w:val="15"/>
        </w:numPr>
        <w:ind w:left="0" w:right="1" w:firstLine="709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B5492E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В разделе 1, в подразделе «Основные проблемы в водоснабжении» в восьмом абзаце слова «Ввод в эксплуатацию новой газовой котельной запланирован на 2023 год» заменить словами «Ввод в эксплуатацию новой газовой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котельной запланирован на 2024 </w:t>
      </w:r>
      <w:r w:rsidRPr="00B5492E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год»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.</w:t>
      </w:r>
    </w:p>
    <w:p w:rsidR="00112DDD" w:rsidRDefault="00112DDD" w:rsidP="00B5492E">
      <w:pPr>
        <w:pStyle w:val="ConsPlusTitle"/>
        <w:numPr>
          <w:ilvl w:val="1"/>
          <w:numId w:val="15"/>
        </w:numPr>
        <w:ind w:left="0" w:right="1" w:firstLine="709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Раздел 3.</w:t>
      </w:r>
      <w:r w:rsidRPr="001545E1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«</w:t>
      </w:r>
      <w:r w:rsidRPr="00A7223B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Перечень целевых показателей муниципальной программы</w:t>
      </w:r>
      <w:r w:rsidRPr="001545E1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,</w:t>
      </w:r>
      <w:r w:rsidRPr="001545E1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таблицу «</w:t>
      </w:r>
      <w:r w:rsidRPr="00506E00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Сведения о показателях (индикаторах) программы и их значениях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» </w:t>
      </w:r>
      <w:r w:rsidRPr="00506E00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изложить в редакции </w:t>
      </w:r>
      <w:r w:rsidR="0097790B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согласно Приложению</w:t>
      </w:r>
      <w:r w:rsidRPr="00506E00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1</w:t>
      </w:r>
      <w:r w:rsidR="0097790B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к настоящему постановлению</w:t>
      </w:r>
      <w:r w:rsidRPr="00506E00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.</w:t>
      </w:r>
    </w:p>
    <w:p w:rsidR="00BF63AC" w:rsidRDefault="005E1BEC" w:rsidP="00112DDD">
      <w:pPr>
        <w:pStyle w:val="ConsPlusTitle"/>
        <w:numPr>
          <w:ilvl w:val="1"/>
          <w:numId w:val="15"/>
        </w:numPr>
        <w:ind w:left="0" w:right="1" w:firstLine="710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Раздел </w:t>
      </w:r>
      <w:r w:rsidR="001545E1"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3.2 «</w:t>
      </w:r>
      <w:r w:rsidR="00930A1F" w:rsidRP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Информация по ресурсному обеспечению за счет средств областного бюджета Ленинградской области и прочих источников в разрезе программ, а также по годам реализации муниципальной программы</w:t>
      </w:r>
      <w:r w:rsidR="003F0FFF"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»</w:t>
      </w:r>
      <w:r w:rsidR="00336329"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 w:rsidR="00BF63AC"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изложить </w:t>
      </w:r>
      <w:r w:rsidR="0097790B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в следующей</w:t>
      </w:r>
      <w:r w:rsidR="00BF63AC" w:rsidRPr="00BF63AC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редакции: </w:t>
      </w:r>
    </w:p>
    <w:p w:rsidR="00930A1F" w:rsidRPr="00A63E02" w:rsidRDefault="00BF63AC" w:rsidP="00930A1F">
      <w:pPr>
        <w:pStyle w:val="ae"/>
        <w:ind w:left="0" w:firstLine="710"/>
        <w:jc w:val="both"/>
        <w:rPr>
          <w:color w:val="080808"/>
          <w:sz w:val="26"/>
          <w:szCs w:val="26"/>
        </w:rPr>
      </w:pPr>
      <w:r w:rsidRPr="00A63E02">
        <w:rPr>
          <w:color w:val="080808"/>
          <w:sz w:val="26"/>
          <w:szCs w:val="26"/>
        </w:rPr>
        <w:t>«</w:t>
      </w:r>
      <w:r w:rsidR="00930A1F" w:rsidRPr="00A63E02">
        <w:rPr>
          <w:color w:val="080808"/>
          <w:sz w:val="26"/>
          <w:szCs w:val="26"/>
        </w:rPr>
        <w:t xml:space="preserve">В рамках реализации программы «Обеспечение устойчивого функционирования и развития жилищно-коммунальной инфраструктуры </w:t>
      </w:r>
      <w:r w:rsidR="00A63E02" w:rsidRPr="00A63E02">
        <w:rPr>
          <w:color w:val="080808"/>
          <w:sz w:val="26"/>
          <w:szCs w:val="26"/>
        </w:rPr>
        <w:t>муниципального образования</w:t>
      </w:r>
      <w:r w:rsidR="00930A1F" w:rsidRPr="00A63E02">
        <w:rPr>
          <w:color w:val="080808"/>
          <w:sz w:val="26"/>
          <w:szCs w:val="26"/>
        </w:rPr>
        <w:t xml:space="preserve"> «Кузьмоловское городское поселение» на 2023 - 2025 годы» предусмотреть финансирование.</w:t>
      </w:r>
    </w:p>
    <w:p w:rsidR="00C511A3" w:rsidRPr="00C511A3" w:rsidRDefault="00930A1F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6F204A">
        <w:rPr>
          <w:color w:val="080808"/>
          <w:sz w:val="26"/>
          <w:szCs w:val="26"/>
        </w:rPr>
        <w:t xml:space="preserve">Объем бюджетных ассигнований Программы в бюджете МО Кузьмоловское ГП составляет - </w:t>
      </w:r>
      <w:r w:rsidR="00C511A3" w:rsidRPr="00C511A3">
        <w:rPr>
          <w:color w:val="080808"/>
          <w:sz w:val="26"/>
          <w:szCs w:val="26"/>
        </w:rPr>
        <w:t>188 876,9 тыс. руб.,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ОБ – 158 400,0 тыс. руб.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МБ – 30 476,9 тыс. руб.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в том числе по годам: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2023</w:t>
      </w:r>
      <w:r w:rsidRPr="00C511A3">
        <w:rPr>
          <w:color w:val="080808"/>
          <w:sz w:val="26"/>
          <w:szCs w:val="26"/>
        </w:rPr>
        <w:tab/>
        <w:t>год МБ – 181 866,9 тыс. руб.,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ОБ – 158 400,0 тыс. руб.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МБ – 23 466,9 тыс. руб.</w:t>
      </w:r>
    </w:p>
    <w:p w:rsidR="00C511A3" w:rsidRPr="00C511A3" w:rsidRDefault="00C511A3" w:rsidP="00C511A3">
      <w:pPr>
        <w:pStyle w:val="ae"/>
        <w:ind w:left="0" w:firstLine="709"/>
        <w:jc w:val="both"/>
        <w:rPr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 xml:space="preserve">2024 год МБ – 3 505,0 тыс. руб., </w:t>
      </w:r>
    </w:p>
    <w:p w:rsidR="00BF63AC" w:rsidRPr="006F204A" w:rsidRDefault="00C511A3" w:rsidP="00C511A3">
      <w:pPr>
        <w:pStyle w:val="ae"/>
        <w:ind w:left="0" w:firstLine="709"/>
        <w:jc w:val="both"/>
        <w:rPr>
          <w:b/>
          <w:bCs/>
          <w:color w:val="080808"/>
          <w:sz w:val="26"/>
          <w:szCs w:val="26"/>
        </w:rPr>
      </w:pPr>
      <w:r w:rsidRPr="00C511A3">
        <w:rPr>
          <w:color w:val="080808"/>
          <w:sz w:val="26"/>
          <w:szCs w:val="26"/>
        </w:rPr>
        <w:t>2025 год МБ – 3 505,0 тыс. руб.</w:t>
      </w:r>
      <w:r w:rsidR="00BF63AC" w:rsidRPr="006F204A">
        <w:rPr>
          <w:color w:val="080808"/>
          <w:sz w:val="26"/>
          <w:szCs w:val="26"/>
        </w:rPr>
        <w:t>»</w:t>
      </w:r>
    </w:p>
    <w:p w:rsidR="00112DDD" w:rsidRDefault="0097790B" w:rsidP="00090820">
      <w:pPr>
        <w:pStyle w:val="ConsPlusTitle"/>
        <w:ind w:right="1" w:firstLine="710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1.</w:t>
      </w:r>
      <w:r w:rsidR="00B5492E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5</w:t>
      </w:r>
      <w:r w:rsidR="00930A1F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</w:t>
      </w:r>
      <w:r w:rsidR="00112DDD" w:rsidRPr="00112DDD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Раздел 4 «План мероприятий» изложить в редакции 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согласно Приложению</w:t>
      </w:r>
      <w:r w:rsidR="00112DDD" w:rsidRPr="00112DDD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2</w:t>
      </w:r>
      <w:r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 xml:space="preserve"> к настоящему постановлению</w:t>
      </w:r>
      <w:r w:rsidR="00112DDD" w:rsidRPr="00112DDD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.</w:t>
      </w:r>
    </w:p>
    <w:p w:rsidR="00E13806" w:rsidRPr="00112DDD" w:rsidRDefault="00E13806" w:rsidP="00090820">
      <w:pPr>
        <w:pStyle w:val="ConsPlusTitle"/>
        <w:ind w:right="1" w:firstLine="710"/>
        <w:jc w:val="both"/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</w:pPr>
      <w:r w:rsidRPr="00112DDD">
        <w:rPr>
          <w:rFonts w:ascii="Times New Roman" w:hAnsi="Times New Roman" w:cs="Times New Roman"/>
          <w:b w:val="0"/>
          <w:bCs w:val="0"/>
          <w:color w:val="080808"/>
          <w:sz w:val="26"/>
          <w:szCs w:val="26"/>
          <w:lang w:eastAsia="ru-RU"/>
        </w:rPr>
        <w:t>2.  Настоящее постановление подлежит официальному опубликованию в газете «Кузьмоловский вестник» и размещению в информационно-телекоммуникационной сети «Интернет».</w:t>
      </w:r>
    </w:p>
    <w:p w:rsidR="00E13806" w:rsidRPr="00E13806" w:rsidRDefault="00E13806" w:rsidP="00090820">
      <w:pPr>
        <w:ind w:right="1" w:firstLine="710"/>
        <w:jc w:val="both"/>
        <w:rPr>
          <w:color w:val="080808"/>
          <w:sz w:val="26"/>
          <w:szCs w:val="26"/>
        </w:rPr>
      </w:pPr>
      <w:r w:rsidRPr="00E13806">
        <w:rPr>
          <w:color w:val="080808"/>
          <w:sz w:val="26"/>
          <w:szCs w:val="26"/>
        </w:rPr>
        <w:t>3.  Настоящее постановление вступает в силу с момента его официального опубликования.</w:t>
      </w:r>
    </w:p>
    <w:p w:rsidR="00E13806" w:rsidRPr="00E13806" w:rsidRDefault="00E13806" w:rsidP="00090820">
      <w:pPr>
        <w:pStyle w:val="ae"/>
        <w:ind w:left="0" w:right="1" w:firstLine="710"/>
        <w:jc w:val="both"/>
        <w:rPr>
          <w:color w:val="080808"/>
          <w:sz w:val="26"/>
          <w:szCs w:val="26"/>
        </w:rPr>
      </w:pPr>
      <w:r w:rsidRPr="00E13806">
        <w:rPr>
          <w:color w:val="080808"/>
          <w:sz w:val="26"/>
          <w:szCs w:val="26"/>
        </w:rPr>
        <w:t>4.  Контроль исполнения настоящего постановления оставляю за собой.</w:t>
      </w:r>
    </w:p>
    <w:p w:rsidR="00E13806" w:rsidRDefault="00E13806" w:rsidP="00E13806">
      <w:pPr>
        <w:pStyle w:val="ConsPlusTitle"/>
        <w:ind w:left="1308" w:right="1"/>
        <w:jc w:val="both"/>
        <w:rPr>
          <w:b w:val="0"/>
          <w:color w:val="080808"/>
          <w:sz w:val="26"/>
          <w:szCs w:val="26"/>
        </w:rPr>
      </w:pPr>
      <w:r>
        <w:rPr>
          <w:b w:val="0"/>
          <w:color w:val="080808"/>
          <w:sz w:val="26"/>
          <w:szCs w:val="26"/>
        </w:rPr>
        <w:t xml:space="preserve"> </w:t>
      </w:r>
    </w:p>
    <w:p w:rsidR="00C53162" w:rsidRPr="00DB6ED4" w:rsidRDefault="00C53162" w:rsidP="00E13806">
      <w:pPr>
        <w:pStyle w:val="ConsPlusTitle"/>
        <w:ind w:left="1308" w:right="1"/>
        <w:jc w:val="both"/>
        <w:rPr>
          <w:b w:val="0"/>
          <w:color w:val="080808"/>
          <w:sz w:val="26"/>
          <w:szCs w:val="26"/>
        </w:rPr>
      </w:pPr>
    </w:p>
    <w:p w:rsidR="00E13806" w:rsidRPr="00E13806" w:rsidRDefault="00E13806" w:rsidP="00E13806">
      <w:pPr>
        <w:autoSpaceDE w:val="0"/>
        <w:autoSpaceDN w:val="0"/>
        <w:adjustRightInd w:val="0"/>
        <w:ind w:left="843" w:right="1"/>
        <w:jc w:val="both"/>
        <w:rPr>
          <w:color w:val="080808"/>
          <w:sz w:val="26"/>
          <w:szCs w:val="26"/>
        </w:rPr>
      </w:pPr>
    </w:p>
    <w:p w:rsidR="00E13806" w:rsidRPr="00E13806" w:rsidRDefault="00E13806" w:rsidP="00E13806">
      <w:pPr>
        <w:pStyle w:val="ae"/>
        <w:ind w:left="1308" w:right="-1"/>
        <w:rPr>
          <w:color w:val="080808"/>
          <w:sz w:val="26"/>
          <w:szCs w:val="26"/>
        </w:rPr>
      </w:pPr>
      <w:r w:rsidRPr="00E13806">
        <w:rPr>
          <w:color w:val="080808"/>
          <w:sz w:val="26"/>
          <w:szCs w:val="26"/>
        </w:rPr>
        <w:t xml:space="preserve">Глава администрации                                                               </w:t>
      </w:r>
      <w:proofErr w:type="spellStart"/>
      <w:r w:rsidRPr="00E13806">
        <w:rPr>
          <w:color w:val="080808"/>
          <w:sz w:val="26"/>
          <w:szCs w:val="26"/>
        </w:rPr>
        <w:t>Д.В.Кобзев</w:t>
      </w:r>
      <w:proofErr w:type="spellEnd"/>
    </w:p>
    <w:p w:rsidR="00E13806" w:rsidRPr="00E13806" w:rsidRDefault="00E13806" w:rsidP="00E13806">
      <w:pPr>
        <w:pStyle w:val="ae"/>
        <w:spacing w:line="276" w:lineRule="auto"/>
        <w:ind w:left="1308"/>
        <w:jc w:val="both"/>
        <w:rPr>
          <w:rFonts w:eastAsia="Calibri"/>
          <w:color w:val="000000"/>
          <w:sz w:val="24"/>
          <w:szCs w:val="24"/>
        </w:rPr>
      </w:pPr>
    </w:p>
    <w:p w:rsidR="00245C27" w:rsidRDefault="00245C27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45C27" w:rsidRDefault="00245C27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45C27" w:rsidRDefault="00245C27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00551" w:rsidRDefault="00A00551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112DDD" w:rsidRDefault="00112DDD" w:rsidP="00112DDD">
      <w:pPr>
        <w:ind w:right="1" w:firstLine="708"/>
        <w:jc w:val="right"/>
        <w:rPr>
          <w:color w:val="080808"/>
          <w:sz w:val="26"/>
          <w:szCs w:val="26"/>
        </w:rPr>
      </w:pPr>
      <w:r w:rsidRPr="00783222">
        <w:rPr>
          <w:color w:val="080808"/>
          <w:sz w:val="26"/>
          <w:szCs w:val="26"/>
        </w:rPr>
        <w:t xml:space="preserve">Приложение 1 </w:t>
      </w:r>
    </w:p>
    <w:p w:rsidR="00112DDD" w:rsidRDefault="00112DDD" w:rsidP="00112DDD">
      <w:pPr>
        <w:ind w:right="1" w:firstLine="708"/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>к постановлению администрации</w:t>
      </w:r>
    </w:p>
    <w:p w:rsidR="00112DDD" w:rsidRDefault="00090820" w:rsidP="00090820">
      <w:pPr>
        <w:tabs>
          <w:tab w:val="left" w:pos="3828"/>
        </w:tabs>
        <w:ind w:right="-2"/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 xml:space="preserve">МО </w:t>
      </w:r>
      <w:proofErr w:type="spellStart"/>
      <w:r>
        <w:rPr>
          <w:color w:val="080808"/>
          <w:sz w:val="26"/>
          <w:szCs w:val="26"/>
        </w:rPr>
        <w:t>Кузьмоловское</w:t>
      </w:r>
      <w:proofErr w:type="spellEnd"/>
      <w:r>
        <w:rPr>
          <w:color w:val="080808"/>
          <w:sz w:val="26"/>
          <w:szCs w:val="26"/>
        </w:rPr>
        <w:t xml:space="preserve"> ГП</w:t>
      </w:r>
    </w:p>
    <w:p w:rsidR="00112DDD" w:rsidRDefault="00112DDD" w:rsidP="00112DDD">
      <w:pPr>
        <w:ind w:right="1" w:firstLine="708"/>
        <w:jc w:val="right"/>
        <w:rPr>
          <w:color w:val="080808"/>
          <w:sz w:val="26"/>
          <w:szCs w:val="26"/>
        </w:rPr>
      </w:pPr>
      <w:r w:rsidRPr="00090820">
        <w:rPr>
          <w:color w:val="080808"/>
          <w:sz w:val="26"/>
          <w:szCs w:val="26"/>
        </w:rPr>
        <w:t xml:space="preserve">от </w:t>
      </w:r>
      <w:r w:rsidR="00DA3111">
        <w:rPr>
          <w:color w:val="080808"/>
          <w:sz w:val="26"/>
          <w:szCs w:val="26"/>
        </w:rPr>
        <w:t>25.08.2023</w:t>
      </w:r>
      <w:r w:rsidRPr="00090820">
        <w:rPr>
          <w:color w:val="080808"/>
          <w:sz w:val="26"/>
          <w:szCs w:val="26"/>
        </w:rPr>
        <w:t xml:space="preserve"> №</w:t>
      </w:r>
      <w:r w:rsidR="00DA3111">
        <w:rPr>
          <w:color w:val="080808"/>
          <w:sz w:val="26"/>
          <w:szCs w:val="26"/>
        </w:rPr>
        <w:t>41</w:t>
      </w:r>
      <w:r w:rsidR="00417ED5">
        <w:rPr>
          <w:color w:val="080808"/>
          <w:sz w:val="26"/>
          <w:szCs w:val="26"/>
        </w:rPr>
        <w:t>7</w:t>
      </w:r>
    </w:p>
    <w:p w:rsidR="00A63E02" w:rsidRDefault="00A63E02" w:rsidP="00112DDD">
      <w:pPr>
        <w:spacing w:line="276" w:lineRule="auto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112DDD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112DDD" w:rsidRPr="00521FDC" w:rsidRDefault="00112DDD" w:rsidP="00112DDD">
      <w:pPr>
        <w:spacing w:line="276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21FDC">
        <w:rPr>
          <w:rFonts w:eastAsia="Calibri"/>
          <w:b/>
          <w:sz w:val="28"/>
          <w:szCs w:val="28"/>
        </w:rPr>
        <w:t>Сведения о показателях (индикаторах) программы и их значениях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952"/>
        <w:gridCol w:w="1740"/>
        <w:gridCol w:w="1008"/>
        <w:gridCol w:w="671"/>
        <w:gridCol w:w="871"/>
        <w:gridCol w:w="606"/>
        <w:gridCol w:w="705"/>
        <w:gridCol w:w="709"/>
        <w:gridCol w:w="696"/>
      </w:tblGrid>
      <w:tr w:rsidR="00112DDD" w:rsidRPr="004841E0" w:rsidTr="00AF4E1E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  <w:lang w:val="en-US"/>
              </w:rPr>
              <w:t>N</w:t>
            </w:r>
            <w:r w:rsidRPr="00DA3111">
              <w:rPr>
                <w:rFonts w:eastAsia="Calibri"/>
                <w:sz w:val="18"/>
                <w:szCs w:val="18"/>
              </w:rPr>
              <w:t xml:space="preserve"> </w:t>
            </w:r>
            <w:r w:rsidRPr="004841E0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112DDD" w:rsidRPr="004841E0" w:rsidRDefault="00112DDD" w:rsidP="00AF4E1E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112DDD" w:rsidRPr="004841E0" w:rsidRDefault="00112DDD" w:rsidP="00AF4E1E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112DDD" w:rsidRPr="004841E0" w:rsidTr="00AF4E1E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4841E0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</w:tr>
      <w:tr w:rsidR="00112DDD" w:rsidRPr="004841E0" w:rsidTr="00AF4E1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12DDD" w:rsidRPr="004841E0" w:rsidTr="00AF4E1E">
        <w:trPr>
          <w:trHeight w:val="3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tabs>
                <w:tab w:val="left" w:pos="4272"/>
              </w:tabs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4841E0" w:rsidTr="00AF4E1E">
        <w:trPr>
          <w:trHeight w:val="4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0839E2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Строительство новой (газовой) котельной мощностью 30 МВт в </w:t>
            </w:r>
            <w:proofErr w:type="spellStart"/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г.п.Кузьмоловский</w:t>
            </w:r>
            <w:proofErr w:type="spellEnd"/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(участок №141), включая проектно-изыскательные работы (концессия)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Строительство и реконструкция тепловых сетей и сетей ГВС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Протяженность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772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772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12DDD" w:rsidRPr="004841E0" w:rsidTr="00AF4E1E">
        <w:trPr>
          <w:trHeight w:val="4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bookmarkStart w:id="0" w:name="_GoBack" w:colFirst="7" w:colLast="7"/>
            <w:r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60FD4">
              <w:rPr>
                <w:rFonts w:eastAsia="Calibri"/>
                <w:bCs/>
                <w:sz w:val="18"/>
                <w:szCs w:val="18"/>
                <w:lang w:eastAsia="en-US"/>
              </w:rPr>
              <w:t>Выполнение ремонтных рабо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т тепловых сетей в </w:t>
            </w: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г.п.Кузьмоло</w:t>
            </w:r>
            <w:r w:rsidRPr="00060FD4">
              <w:rPr>
                <w:rFonts w:eastAsia="Calibri"/>
                <w:bCs/>
                <w:sz w:val="18"/>
                <w:szCs w:val="18"/>
                <w:lang w:eastAsia="en-US"/>
              </w:rPr>
              <w:t>ский</w:t>
            </w:r>
            <w:proofErr w:type="spellEnd"/>
            <w:r w:rsidRPr="00060FD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060FD4">
              <w:rPr>
                <w:rFonts w:eastAsia="Calibri"/>
                <w:sz w:val="18"/>
                <w:szCs w:val="18"/>
              </w:rPr>
              <w:t>Повышение подачи теплоснабжения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112DDD" w:rsidP="00AF4E1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060FD4">
              <w:rPr>
                <w:rFonts w:eastAsia="Calibri"/>
                <w:sz w:val="18"/>
                <w:szCs w:val="18"/>
              </w:rPr>
              <w:t>Протяженность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0839E2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3D35F8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3D35F8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3D35F8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</w:tr>
      <w:bookmarkEnd w:id="0"/>
      <w:tr w:rsidR="00112DDD" w:rsidRPr="004841E0" w:rsidTr="00AF4E1E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ТО газопроводов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C64159" w:rsidP="00AF4E1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  <w:r w:rsidR="00B460F0">
              <w:rPr>
                <w:rFonts w:eastAsia="Calibri"/>
                <w:sz w:val="18"/>
                <w:szCs w:val="18"/>
              </w:rPr>
              <w:t>объектов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B460F0" w:rsidRDefault="00B460F0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B460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B460F0" w:rsidRDefault="00B460F0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B460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B460F0" w:rsidRDefault="00B460F0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B460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B460F0" w:rsidRDefault="00B460F0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B460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12DDD" w:rsidRPr="004841E0" w:rsidTr="00AF4E1E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</w:t>
            </w:r>
            <w:r w:rsidRPr="004841E0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Проектирование и экспертиза объектов</w:t>
            </w:r>
            <w:r w:rsidR="00B460F0" w:rsidRPr="008000F6">
              <w:rPr>
                <w:rFonts w:eastAsia="Calibri"/>
                <w:sz w:val="18"/>
                <w:szCs w:val="18"/>
              </w:rPr>
              <w:t>, оценка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 xml:space="preserve">Подготовка документации для ремонта </w:t>
            </w:r>
            <w:r>
              <w:rPr>
                <w:rFonts w:eastAsia="Calibri"/>
                <w:sz w:val="18"/>
                <w:szCs w:val="18"/>
              </w:rPr>
              <w:t>и строительства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12DDD" w:rsidRPr="004841E0" w:rsidTr="00AF4E1E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  <w:r w:rsidRPr="004841E0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766E35">
            <w:pPr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 xml:space="preserve">Подготовка документации для ремонта и </w:t>
            </w:r>
            <w:r>
              <w:rPr>
                <w:rFonts w:eastAsia="Calibri"/>
                <w:sz w:val="18"/>
                <w:szCs w:val="18"/>
              </w:rPr>
              <w:t>строительства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  <w:p w:rsidR="00112DDD" w:rsidRPr="004841E0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912C9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912C9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12DDD" w:rsidRPr="004841E0" w:rsidTr="00AF4E1E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364257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val="en-US"/>
              </w:rPr>
            </w:pPr>
            <w:r>
              <w:rPr>
                <w:rFonts w:eastAsia="Calibri"/>
                <w:bCs/>
                <w:sz w:val="18"/>
                <w:szCs w:val="18"/>
              </w:rPr>
              <w:t>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rPr>
                <w:rFonts w:eastAsia="Calibri"/>
                <w:sz w:val="18"/>
                <w:szCs w:val="18"/>
              </w:rPr>
            </w:pPr>
            <w:r w:rsidRPr="00364257">
              <w:rPr>
                <w:rFonts w:eastAsia="Calibri"/>
                <w:sz w:val="18"/>
                <w:szCs w:val="18"/>
              </w:rPr>
              <w:t>Расходы на содержание объектов жилого фонда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364257" w:rsidRDefault="00112DDD" w:rsidP="00AF4E1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</w:t>
            </w:r>
            <w:r w:rsidRPr="00364257">
              <w:rPr>
                <w:rFonts w:eastAsia="Calibri"/>
                <w:sz w:val="18"/>
                <w:szCs w:val="18"/>
              </w:rPr>
              <w:t>плате взноса на капитальный ремонт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Pr="004841E0" w:rsidRDefault="00112DDD" w:rsidP="00AF4E1E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C511A3" w:rsidP="00AF4E1E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DD" w:rsidRDefault="00112DDD" w:rsidP="00AF4E1E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0</w:t>
            </w:r>
          </w:p>
        </w:tc>
      </w:tr>
    </w:tbl>
    <w:p w:rsidR="00A63E02" w:rsidRDefault="00A63E0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090820" w:rsidRDefault="00090820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090820" w:rsidRDefault="00090820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97790B" w:rsidRDefault="0097790B" w:rsidP="00112DDD">
      <w:pPr>
        <w:ind w:right="1" w:firstLine="708"/>
        <w:jc w:val="right"/>
        <w:rPr>
          <w:color w:val="080808"/>
          <w:sz w:val="26"/>
          <w:szCs w:val="26"/>
        </w:rPr>
      </w:pPr>
    </w:p>
    <w:p w:rsidR="00112DDD" w:rsidRDefault="00112DDD" w:rsidP="00112DDD">
      <w:pPr>
        <w:ind w:right="1" w:firstLine="708"/>
        <w:jc w:val="right"/>
        <w:rPr>
          <w:color w:val="080808"/>
          <w:sz w:val="26"/>
          <w:szCs w:val="26"/>
        </w:rPr>
      </w:pPr>
      <w:r w:rsidRPr="00783222">
        <w:rPr>
          <w:color w:val="080808"/>
          <w:sz w:val="26"/>
          <w:szCs w:val="26"/>
        </w:rPr>
        <w:t xml:space="preserve">Приложение </w:t>
      </w:r>
      <w:r>
        <w:rPr>
          <w:color w:val="080808"/>
          <w:sz w:val="26"/>
          <w:szCs w:val="26"/>
        </w:rPr>
        <w:t>2</w:t>
      </w:r>
      <w:r w:rsidRPr="00783222">
        <w:rPr>
          <w:color w:val="080808"/>
          <w:sz w:val="26"/>
          <w:szCs w:val="26"/>
        </w:rPr>
        <w:t xml:space="preserve"> </w:t>
      </w:r>
    </w:p>
    <w:p w:rsidR="00112DDD" w:rsidRDefault="00112DDD" w:rsidP="00112DDD">
      <w:pPr>
        <w:ind w:right="1" w:firstLine="708"/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>к постановлению администрации</w:t>
      </w:r>
    </w:p>
    <w:p w:rsidR="00090820" w:rsidRDefault="00090820" w:rsidP="00090820">
      <w:pPr>
        <w:tabs>
          <w:tab w:val="left" w:pos="3828"/>
        </w:tabs>
        <w:ind w:right="-2"/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 xml:space="preserve">МО </w:t>
      </w:r>
      <w:proofErr w:type="spellStart"/>
      <w:r>
        <w:rPr>
          <w:color w:val="080808"/>
          <w:sz w:val="26"/>
          <w:szCs w:val="26"/>
        </w:rPr>
        <w:t>Кузьмоловское</w:t>
      </w:r>
      <w:proofErr w:type="spellEnd"/>
      <w:r>
        <w:rPr>
          <w:color w:val="080808"/>
          <w:sz w:val="26"/>
          <w:szCs w:val="26"/>
        </w:rPr>
        <w:t xml:space="preserve"> ГП</w:t>
      </w:r>
    </w:p>
    <w:p w:rsidR="00DA3111" w:rsidRDefault="00DA3111" w:rsidP="00DA3111">
      <w:pPr>
        <w:ind w:right="1" w:firstLine="708"/>
        <w:jc w:val="right"/>
        <w:rPr>
          <w:color w:val="080808"/>
          <w:sz w:val="26"/>
          <w:szCs w:val="26"/>
        </w:rPr>
      </w:pPr>
      <w:r w:rsidRPr="00090820">
        <w:rPr>
          <w:color w:val="080808"/>
          <w:sz w:val="26"/>
          <w:szCs w:val="26"/>
        </w:rPr>
        <w:t xml:space="preserve">от </w:t>
      </w:r>
      <w:r>
        <w:rPr>
          <w:color w:val="080808"/>
          <w:sz w:val="26"/>
          <w:szCs w:val="26"/>
        </w:rPr>
        <w:t>25.08.2023</w:t>
      </w:r>
      <w:r w:rsidRPr="00090820">
        <w:rPr>
          <w:color w:val="080808"/>
          <w:sz w:val="26"/>
          <w:szCs w:val="26"/>
        </w:rPr>
        <w:t xml:space="preserve"> №</w:t>
      </w:r>
      <w:r>
        <w:rPr>
          <w:color w:val="080808"/>
          <w:sz w:val="26"/>
          <w:szCs w:val="26"/>
        </w:rPr>
        <w:t>41</w:t>
      </w:r>
      <w:r w:rsidR="00417ED5">
        <w:rPr>
          <w:color w:val="080808"/>
          <w:sz w:val="26"/>
          <w:szCs w:val="26"/>
        </w:rPr>
        <w:t>7</w:t>
      </w:r>
    </w:p>
    <w:p w:rsidR="00112DDD" w:rsidRDefault="00112DDD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2DDD" w:rsidRPr="00112DDD" w:rsidRDefault="00112DDD" w:rsidP="00112DDD">
      <w:pPr>
        <w:pStyle w:val="ae"/>
        <w:numPr>
          <w:ilvl w:val="0"/>
          <w:numId w:val="27"/>
        </w:numPr>
        <w:suppressAutoHyphens/>
        <w:jc w:val="center"/>
        <w:rPr>
          <w:b/>
          <w:bCs/>
          <w:color w:val="000000"/>
          <w:sz w:val="28"/>
          <w:szCs w:val="28"/>
        </w:rPr>
      </w:pPr>
      <w:r w:rsidRPr="00112DDD">
        <w:rPr>
          <w:b/>
          <w:bCs/>
          <w:color w:val="000000"/>
          <w:sz w:val="28"/>
          <w:szCs w:val="28"/>
        </w:rPr>
        <w:t>План мероприятий</w:t>
      </w:r>
    </w:p>
    <w:tbl>
      <w:tblPr>
        <w:tblW w:w="98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542"/>
        <w:gridCol w:w="708"/>
        <w:gridCol w:w="1418"/>
        <w:gridCol w:w="829"/>
        <w:gridCol w:w="1465"/>
        <w:gridCol w:w="1468"/>
        <w:gridCol w:w="1428"/>
      </w:tblGrid>
      <w:tr w:rsidR="00112DDD" w:rsidRPr="00B136C3" w:rsidTr="00AF4E1E">
        <w:trPr>
          <w:trHeight w:val="330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5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Сумма расходов (руб.)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Ответственный исполнитель мероприятия</w:t>
            </w:r>
          </w:p>
        </w:tc>
      </w:tr>
      <w:tr w:rsidR="00112DDD" w:rsidRPr="00B136C3" w:rsidTr="00AF4E1E">
        <w:trPr>
          <w:trHeight w:val="948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CC1D7A" w:rsidRDefault="00112DDD" w:rsidP="00AF4E1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CC1D7A" w:rsidRDefault="00112DDD" w:rsidP="00AF4E1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всего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CC1D7A" w:rsidRDefault="00112DDD" w:rsidP="00AF4E1E">
            <w:pPr>
              <w:rPr>
                <w:sz w:val="22"/>
                <w:szCs w:val="22"/>
              </w:rPr>
            </w:pPr>
          </w:p>
        </w:tc>
      </w:tr>
      <w:tr w:rsidR="00112DDD" w:rsidRPr="00B136C3" w:rsidTr="00AF4E1E">
        <w:trPr>
          <w:trHeight w:val="2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C1D7A" w:rsidRDefault="00112DDD" w:rsidP="00AF4E1E">
            <w:pPr>
              <w:jc w:val="center"/>
              <w:rPr>
                <w:sz w:val="22"/>
                <w:szCs w:val="22"/>
              </w:rPr>
            </w:pPr>
            <w:r w:rsidRPr="00CC1D7A">
              <w:rPr>
                <w:sz w:val="22"/>
                <w:szCs w:val="22"/>
              </w:rPr>
              <w:t>7</w:t>
            </w:r>
          </w:p>
        </w:tc>
      </w:tr>
      <w:tr w:rsidR="00112DDD" w:rsidRPr="00B136C3" w:rsidTr="00AF4E1E">
        <w:trPr>
          <w:trHeight w:val="315"/>
        </w:trPr>
        <w:tc>
          <w:tcPr>
            <w:tcW w:w="9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b/>
                <w:bCs/>
                <w:sz w:val="18"/>
                <w:szCs w:val="18"/>
              </w:rPr>
            </w:pPr>
            <w:r w:rsidRPr="00B136C3">
              <w:rPr>
                <w:b/>
                <w:bCs/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 xml:space="preserve">Строительство новой (газовой) котельной мощностью 30МВт с сетями инженерно-технического обеспечения в </w:t>
            </w:r>
            <w:proofErr w:type="spellStart"/>
            <w:r w:rsidRPr="00B136C3">
              <w:rPr>
                <w:sz w:val="18"/>
                <w:szCs w:val="18"/>
              </w:rPr>
              <w:t>г.п</w:t>
            </w:r>
            <w:proofErr w:type="spellEnd"/>
            <w:r w:rsidRPr="00B136C3">
              <w:rPr>
                <w:sz w:val="18"/>
                <w:szCs w:val="18"/>
              </w:rPr>
              <w:t>. Кузьмоловский (участок № 141), включая проектно-изыскательские работы, по концессионному соглашению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180 000 000,00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158 400 000,00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21 600 000,00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Комитет по топливно-энергетическому комплексу, Администрация МО Кузьмоловское ГП</w:t>
            </w:r>
          </w:p>
        </w:tc>
      </w:tr>
      <w:tr w:rsidR="00112DDD" w:rsidRPr="00B136C3" w:rsidTr="00AF4E1E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8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0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 xml:space="preserve">Выполнение ремонтных работ тепловых сетей в </w:t>
            </w:r>
            <w:proofErr w:type="spellStart"/>
            <w:r w:rsidRPr="00B136C3">
              <w:rPr>
                <w:sz w:val="18"/>
                <w:szCs w:val="18"/>
              </w:rPr>
              <w:t>г.п.Кузьмоловский</w:t>
            </w:r>
            <w:proofErr w:type="spellEnd"/>
            <w:r w:rsidRPr="00B136C3">
              <w:rPr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1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Проек</w:t>
            </w:r>
            <w:r w:rsidR="00C511A3">
              <w:rPr>
                <w:sz w:val="18"/>
                <w:szCs w:val="18"/>
              </w:rPr>
              <w:t>тирование и экспертиза объектов, оценка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232 500,00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175 000,00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175 000,00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7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4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Расходы на содержание объектов жилого фонда, оплате взноса на 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1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511A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C511A3">
              <w:rPr>
                <w:color w:val="000000"/>
                <w:sz w:val="18"/>
                <w:szCs w:val="18"/>
              </w:rPr>
              <w:t>369 435,80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511A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C511A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511A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C5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C511A3" w:rsidRDefault="00C511A3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C511A3">
              <w:rPr>
                <w:color w:val="000000"/>
                <w:sz w:val="18"/>
                <w:szCs w:val="18"/>
              </w:rPr>
              <w:t>369 435,80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104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22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color w:val="000000"/>
                <w:sz w:val="18"/>
                <w:szCs w:val="18"/>
              </w:rPr>
            </w:pPr>
            <w:r w:rsidRPr="00B136C3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8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</w:p>
        </w:tc>
      </w:tr>
      <w:tr w:rsidR="00112DDD" w:rsidRPr="00B136C3" w:rsidTr="00AF4E1E">
        <w:trPr>
          <w:trHeight w:val="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Итого по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jc w:val="center"/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E623B6" w:rsidRDefault="00E623B6" w:rsidP="00AF4E1E">
            <w:pPr>
              <w:jc w:val="center"/>
              <w:rPr>
                <w:sz w:val="18"/>
                <w:szCs w:val="18"/>
              </w:rPr>
            </w:pPr>
            <w:r w:rsidRPr="00E623B6">
              <w:rPr>
                <w:sz w:val="18"/>
                <w:szCs w:val="18"/>
              </w:rPr>
              <w:t>188 876 935,80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E623B6" w:rsidRDefault="00112DDD" w:rsidP="00AF4E1E">
            <w:pPr>
              <w:jc w:val="center"/>
              <w:rPr>
                <w:sz w:val="18"/>
                <w:szCs w:val="18"/>
              </w:rPr>
            </w:pPr>
            <w:r w:rsidRPr="00E623B6">
              <w:rPr>
                <w:sz w:val="18"/>
                <w:szCs w:val="18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E623B6" w:rsidRDefault="00112DDD" w:rsidP="00AF4E1E">
            <w:pPr>
              <w:jc w:val="center"/>
              <w:rPr>
                <w:sz w:val="18"/>
                <w:szCs w:val="18"/>
              </w:rPr>
            </w:pPr>
            <w:r w:rsidRPr="00E623B6">
              <w:rPr>
                <w:sz w:val="18"/>
                <w:szCs w:val="18"/>
              </w:rPr>
              <w:t>158 400 000,00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E623B6" w:rsidRDefault="00E623B6" w:rsidP="00AF4E1E">
            <w:pPr>
              <w:jc w:val="center"/>
              <w:rPr>
                <w:sz w:val="18"/>
                <w:szCs w:val="18"/>
              </w:rPr>
            </w:pPr>
            <w:r w:rsidRPr="00E623B6">
              <w:rPr>
                <w:sz w:val="18"/>
                <w:szCs w:val="18"/>
              </w:rPr>
              <w:t>30 476 935,80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DDD" w:rsidRPr="00B136C3" w:rsidRDefault="00112DDD" w:rsidP="00AF4E1E">
            <w:pPr>
              <w:rPr>
                <w:sz w:val="18"/>
                <w:szCs w:val="18"/>
              </w:rPr>
            </w:pPr>
            <w:r w:rsidRPr="00B136C3">
              <w:rPr>
                <w:sz w:val="18"/>
                <w:szCs w:val="18"/>
              </w:rPr>
              <w:t> </w:t>
            </w:r>
          </w:p>
        </w:tc>
      </w:tr>
    </w:tbl>
    <w:p w:rsidR="00112DDD" w:rsidRDefault="00112DDD" w:rsidP="00112DDD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112DDD" w:rsidSect="00E844D7">
      <w:headerReference w:type="first" r:id="rId9"/>
      <w:footerReference w:type="first" r:id="rId10"/>
      <w:pgSz w:w="11906" w:h="16838"/>
      <w:pgMar w:top="70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D6" w:rsidRDefault="002647D6" w:rsidP="004B41CD">
      <w:r>
        <w:separator/>
      </w:r>
    </w:p>
  </w:endnote>
  <w:endnote w:type="continuationSeparator" w:id="0">
    <w:p w:rsidR="002647D6" w:rsidRDefault="002647D6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27" w:rsidRDefault="00245C27">
    <w:pPr>
      <w:pStyle w:val="aa"/>
    </w:pPr>
  </w:p>
  <w:p w:rsidR="00245C27" w:rsidRPr="00732E25" w:rsidRDefault="00245C27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D6" w:rsidRDefault="002647D6" w:rsidP="004B41CD">
      <w:r>
        <w:separator/>
      </w:r>
    </w:p>
  </w:footnote>
  <w:footnote w:type="continuationSeparator" w:id="0">
    <w:p w:rsidR="002647D6" w:rsidRDefault="002647D6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27" w:rsidRDefault="00245C27">
    <w:pPr>
      <w:pStyle w:val="a8"/>
    </w:pPr>
  </w:p>
  <w:p w:rsidR="00245C27" w:rsidRDefault="00245C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02493"/>
    <w:multiLevelType w:val="multilevel"/>
    <w:tmpl w:val="B7EC6B06"/>
    <w:lvl w:ilvl="0">
      <w:start w:val="1"/>
      <w:numFmt w:val="decimal"/>
      <w:lvlText w:val="%1."/>
      <w:lvlJc w:val="left"/>
      <w:pPr>
        <w:ind w:left="1308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2" w15:restartNumberingAfterBreak="0">
    <w:nsid w:val="0CE1402F"/>
    <w:multiLevelType w:val="hybridMultilevel"/>
    <w:tmpl w:val="3EFCA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340C0"/>
    <w:multiLevelType w:val="hybridMultilevel"/>
    <w:tmpl w:val="E11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0668"/>
    <w:multiLevelType w:val="multilevel"/>
    <w:tmpl w:val="6F42A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75B7"/>
    <w:multiLevelType w:val="hybridMultilevel"/>
    <w:tmpl w:val="2458D0A6"/>
    <w:lvl w:ilvl="0" w:tplc="56DCB7C8">
      <w:start w:val="2023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DB400F"/>
    <w:multiLevelType w:val="multilevel"/>
    <w:tmpl w:val="B7EC6B06"/>
    <w:lvl w:ilvl="0">
      <w:start w:val="1"/>
      <w:numFmt w:val="decimal"/>
      <w:lvlText w:val="%1."/>
      <w:lvlJc w:val="left"/>
      <w:pPr>
        <w:ind w:left="1308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7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CE2F90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1D1C91"/>
    <w:multiLevelType w:val="hybridMultilevel"/>
    <w:tmpl w:val="16ECB2D2"/>
    <w:lvl w:ilvl="0" w:tplc="EE8CFF84">
      <w:start w:val="2025"/>
      <w:numFmt w:val="decimal"/>
      <w:lvlText w:val="%1"/>
      <w:lvlJc w:val="left"/>
      <w:pPr>
        <w:ind w:left="900" w:hanging="540"/>
      </w:pPr>
      <w:rPr>
        <w:rFonts w:hint="default"/>
        <w:color w:val="080808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115E"/>
    <w:multiLevelType w:val="hybridMultilevel"/>
    <w:tmpl w:val="4F34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C53946"/>
    <w:multiLevelType w:val="hybridMultilevel"/>
    <w:tmpl w:val="28F6C8F4"/>
    <w:lvl w:ilvl="0" w:tplc="F2D80410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D30B5"/>
    <w:multiLevelType w:val="hybridMultilevel"/>
    <w:tmpl w:val="CED6A7A6"/>
    <w:lvl w:ilvl="0" w:tplc="89505470">
      <w:start w:val="2023"/>
      <w:numFmt w:val="decimal"/>
      <w:lvlText w:val="%1"/>
      <w:lvlJc w:val="left"/>
      <w:pPr>
        <w:ind w:left="85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7CF065B4"/>
    <w:multiLevelType w:val="multilevel"/>
    <w:tmpl w:val="F6444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7243D0"/>
    <w:multiLevelType w:val="multilevel"/>
    <w:tmpl w:val="A372E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0"/>
  </w:num>
  <w:num w:numId="13">
    <w:abstractNumId w:val="19"/>
  </w:num>
  <w:num w:numId="14">
    <w:abstractNumId w:val="28"/>
  </w:num>
  <w:num w:numId="15">
    <w:abstractNumId w:val="16"/>
  </w:num>
  <w:num w:numId="16">
    <w:abstractNumId w:val="29"/>
  </w:num>
  <w:num w:numId="17">
    <w:abstractNumId w:val="11"/>
  </w:num>
  <w:num w:numId="18">
    <w:abstractNumId w:val="10"/>
  </w:num>
  <w:num w:numId="19">
    <w:abstractNumId w:val="27"/>
  </w:num>
  <w:num w:numId="20">
    <w:abstractNumId w:val="4"/>
  </w:num>
  <w:num w:numId="21">
    <w:abstractNumId w:val="26"/>
  </w:num>
  <w:num w:numId="22">
    <w:abstractNumId w:val="18"/>
  </w:num>
  <w:num w:numId="23">
    <w:abstractNumId w:val="22"/>
  </w:num>
  <w:num w:numId="24">
    <w:abstractNumId w:val="5"/>
  </w:num>
  <w:num w:numId="25">
    <w:abstractNumId w:val="1"/>
  </w:num>
  <w:num w:numId="26">
    <w:abstractNumId w:val="20"/>
  </w:num>
  <w:num w:numId="27">
    <w:abstractNumId w:val="2"/>
  </w:num>
  <w:num w:numId="28">
    <w:abstractNumId w:val="24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0820"/>
    <w:rsid w:val="000942DF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12DDD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5C27"/>
    <w:rsid w:val="00246E5D"/>
    <w:rsid w:val="00252AD5"/>
    <w:rsid w:val="00252DEC"/>
    <w:rsid w:val="00254B09"/>
    <w:rsid w:val="00255000"/>
    <w:rsid w:val="002618DA"/>
    <w:rsid w:val="00262607"/>
    <w:rsid w:val="002636EA"/>
    <w:rsid w:val="002647D6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A498B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445"/>
    <w:rsid w:val="00356F65"/>
    <w:rsid w:val="00367C89"/>
    <w:rsid w:val="00377B4E"/>
    <w:rsid w:val="003859D6"/>
    <w:rsid w:val="0038661A"/>
    <w:rsid w:val="00390C56"/>
    <w:rsid w:val="00392F0E"/>
    <w:rsid w:val="00393A13"/>
    <w:rsid w:val="003A0E54"/>
    <w:rsid w:val="003A2BD6"/>
    <w:rsid w:val="003A2D0D"/>
    <w:rsid w:val="003A31A7"/>
    <w:rsid w:val="003A4255"/>
    <w:rsid w:val="003A52A3"/>
    <w:rsid w:val="003A57C0"/>
    <w:rsid w:val="003A670A"/>
    <w:rsid w:val="003B0B52"/>
    <w:rsid w:val="003B11EE"/>
    <w:rsid w:val="003B4A59"/>
    <w:rsid w:val="003B6C2F"/>
    <w:rsid w:val="003B74CB"/>
    <w:rsid w:val="003E0328"/>
    <w:rsid w:val="003E4CF4"/>
    <w:rsid w:val="003F0FFF"/>
    <w:rsid w:val="003F553B"/>
    <w:rsid w:val="003F6015"/>
    <w:rsid w:val="003F6C85"/>
    <w:rsid w:val="004003D1"/>
    <w:rsid w:val="004008BA"/>
    <w:rsid w:val="0040337F"/>
    <w:rsid w:val="00406201"/>
    <w:rsid w:val="0040676A"/>
    <w:rsid w:val="004150FD"/>
    <w:rsid w:val="00417ED5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46E16"/>
    <w:rsid w:val="00453770"/>
    <w:rsid w:val="00456F08"/>
    <w:rsid w:val="004706CA"/>
    <w:rsid w:val="00473D52"/>
    <w:rsid w:val="004751CA"/>
    <w:rsid w:val="004757CB"/>
    <w:rsid w:val="004819C7"/>
    <w:rsid w:val="00484262"/>
    <w:rsid w:val="00484667"/>
    <w:rsid w:val="004912C9"/>
    <w:rsid w:val="004939C1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4F20F2"/>
    <w:rsid w:val="004F2115"/>
    <w:rsid w:val="00510EDC"/>
    <w:rsid w:val="00511728"/>
    <w:rsid w:val="0051715F"/>
    <w:rsid w:val="00520569"/>
    <w:rsid w:val="00521FDC"/>
    <w:rsid w:val="00527BE3"/>
    <w:rsid w:val="00533A47"/>
    <w:rsid w:val="00536A29"/>
    <w:rsid w:val="00537A89"/>
    <w:rsid w:val="00540375"/>
    <w:rsid w:val="00543F59"/>
    <w:rsid w:val="00547044"/>
    <w:rsid w:val="00554DBD"/>
    <w:rsid w:val="00556328"/>
    <w:rsid w:val="00560FE4"/>
    <w:rsid w:val="00563A5B"/>
    <w:rsid w:val="00565348"/>
    <w:rsid w:val="00571406"/>
    <w:rsid w:val="00594E9A"/>
    <w:rsid w:val="005A1937"/>
    <w:rsid w:val="005A3C98"/>
    <w:rsid w:val="005A7A02"/>
    <w:rsid w:val="005B06CF"/>
    <w:rsid w:val="005B17DC"/>
    <w:rsid w:val="005B3755"/>
    <w:rsid w:val="005C78D9"/>
    <w:rsid w:val="005C7C5C"/>
    <w:rsid w:val="005D051D"/>
    <w:rsid w:val="005D1833"/>
    <w:rsid w:val="005D2F75"/>
    <w:rsid w:val="005D6E54"/>
    <w:rsid w:val="005E1BEC"/>
    <w:rsid w:val="005E2D58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276AB"/>
    <w:rsid w:val="00631478"/>
    <w:rsid w:val="00633F7E"/>
    <w:rsid w:val="00635941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00D9"/>
    <w:rsid w:val="006A68AF"/>
    <w:rsid w:val="006B0609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204A"/>
    <w:rsid w:val="006F3675"/>
    <w:rsid w:val="006F4812"/>
    <w:rsid w:val="006F4CCF"/>
    <w:rsid w:val="006F7D87"/>
    <w:rsid w:val="007007FC"/>
    <w:rsid w:val="00700E74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400D"/>
    <w:rsid w:val="0075680F"/>
    <w:rsid w:val="00757A50"/>
    <w:rsid w:val="00762E47"/>
    <w:rsid w:val="00762EFD"/>
    <w:rsid w:val="00766E35"/>
    <w:rsid w:val="007676BA"/>
    <w:rsid w:val="0077032D"/>
    <w:rsid w:val="00772D5E"/>
    <w:rsid w:val="007762C2"/>
    <w:rsid w:val="00776503"/>
    <w:rsid w:val="00783222"/>
    <w:rsid w:val="00783CD8"/>
    <w:rsid w:val="00786EE3"/>
    <w:rsid w:val="00787721"/>
    <w:rsid w:val="00790D2F"/>
    <w:rsid w:val="007914E3"/>
    <w:rsid w:val="00795B19"/>
    <w:rsid w:val="007975C9"/>
    <w:rsid w:val="007A10BD"/>
    <w:rsid w:val="007A1938"/>
    <w:rsid w:val="007A6307"/>
    <w:rsid w:val="007A6883"/>
    <w:rsid w:val="007A71BC"/>
    <w:rsid w:val="007B457D"/>
    <w:rsid w:val="007B6AE8"/>
    <w:rsid w:val="007C0EBF"/>
    <w:rsid w:val="007C1C5B"/>
    <w:rsid w:val="007C688B"/>
    <w:rsid w:val="007D23F7"/>
    <w:rsid w:val="007D6870"/>
    <w:rsid w:val="007E18F6"/>
    <w:rsid w:val="007E36EF"/>
    <w:rsid w:val="007E45BA"/>
    <w:rsid w:val="007F2A21"/>
    <w:rsid w:val="00811C05"/>
    <w:rsid w:val="00813F57"/>
    <w:rsid w:val="008144FB"/>
    <w:rsid w:val="0081452F"/>
    <w:rsid w:val="008264D3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E1DE8"/>
    <w:rsid w:val="008F07B3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0A1F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FAE"/>
    <w:rsid w:val="0097299A"/>
    <w:rsid w:val="00973210"/>
    <w:rsid w:val="009761B0"/>
    <w:rsid w:val="0097790B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D21EE"/>
    <w:rsid w:val="009D3598"/>
    <w:rsid w:val="009E1341"/>
    <w:rsid w:val="009E2E6F"/>
    <w:rsid w:val="009E482F"/>
    <w:rsid w:val="00A00339"/>
    <w:rsid w:val="00A00551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3E02"/>
    <w:rsid w:val="00A6773E"/>
    <w:rsid w:val="00A72F2A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2FE3"/>
    <w:rsid w:val="00B45186"/>
    <w:rsid w:val="00B460F0"/>
    <w:rsid w:val="00B47C43"/>
    <w:rsid w:val="00B5492E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BF63AC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16F"/>
    <w:rsid w:val="00C332DC"/>
    <w:rsid w:val="00C35C6A"/>
    <w:rsid w:val="00C37B93"/>
    <w:rsid w:val="00C37E58"/>
    <w:rsid w:val="00C40527"/>
    <w:rsid w:val="00C420F5"/>
    <w:rsid w:val="00C46765"/>
    <w:rsid w:val="00C511A3"/>
    <w:rsid w:val="00C52432"/>
    <w:rsid w:val="00C53162"/>
    <w:rsid w:val="00C53ACE"/>
    <w:rsid w:val="00C567BF"/>
    <w:rsid w:val="00C63740"/>
    <w:rsid w:val="00C64159"/>
    <w:rsid w:val="00C72CA9"/>
    <w:rsid w:val="00C86EA1"/>
    <w:rsid w:val="00C92BC1"/>
    <w:rsid w:val="00C94CD8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3111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3806"/>
    <w:rsid w:val="00E16ACC"/>
    <w:rsid w:val="00E17F41"/>
    <w:rsid w:val="00E17FB9"/>
    <w:rsid w:val="00E20E6C"/>
    <w:rsid w:val="00E211CB"/>
    <w:rsid w:val="00E233C4"/>
    <w:rsid w:val="00E2792B"/>
    <w:rsid w:val="00E40C49"/>
    <w:rsid w:val="00E452EA"/>
    <w:rsid w:val="00E47034"/>
    <w:rsid w:val="00E623B6"/>
    <w:rsid w:val="00E64107"/>
    <w:rsid w:val="00E64767"/>
    <w:rsid w:val="00E67A8C"/>
    <w:rsid w:val="00E716D4"/>
    <w:rsid w:val="00E73B4D"/>
    <w:rsid w:val="00E74995"/>
    <w:rsid w:val="00E777EC"/>
    <w:rsid w:val="00E844D7"/>
    <w:rsid w:val="00E849C5"/>
    <w:rsid w:val="00E95547"/>
    <w:rsid w:val="00E96A84"/>
    <w:rsid w:val="00EA2BFB"/>
    <w:rsid w:val="00EA31E5"/>
    <w:rsid w:val="00EA53A4"/>
    <w:rsid w:val="00EA6CDB"/>
    <w:rsid w:val="00EB5790"/>
    <w:rsid w:val="00EB6D10"/>
    <w:rsid w:val="00EB74CC"/>
    <w:rsid w:val="00EC0643"/>
    <w:rsid w:val="00EC37DA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22BE7"/>
    <w:rsid w:val="00F3215E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C560C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uiPriority w:val="99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110">
    <w:name w:val="Без интервала11"/>
    <w:rsid w:val="00245C27"/>
    <w:pPr>
      <w:suppressAutoHyphens/>
      <w:spacing w:line="100" w:lineRule="atLeast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04D7-6CF0-4868-A52D-9BB44B0C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7355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66</cp:revision>
  <cp:lastPrinted>2023-08-28T11:55:00Z</cp:lastPrinted>
  <dcterms:created xsi:type="dcterms:W3CDTF">2022-03-17T11:31:00Z</dcterms:created>
  <dcterms:modified xsi:type="dcterms:W3CDTF">2023-08-28T12:03:00Z</dcterms:modified>
</cp:coreProperties>
</file>