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7" w:rsidRPr="007A3C49" w:rsidRDefault="00B20957" w:rsidP="00B20957">
      <w:pPr>
        <w:pStyle w:val="ConsPlusTitlePage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9237A0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78190854" r:id="rId9"/>
          <o:OLEObject Type="Embed" ProgID="CorelDRAW.Graphic.14" ShapeID="_x0000_s1028" DrawAspect="Content" ObjectID="_1678190855" r:id="rId10"/>
        </w:object>
      </w:r>
      <w:r w:rsidR="00B20957"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  <w:proofErr w:type="gramEnd"/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</w:t>
      </w:r>
      <w:proofErr w:type="gramEnd"/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7A3C49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7A3C49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    </w:t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proofErr w:type="gramStart"/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</w:t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proofErr w:type="gramEnd"/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» 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апреля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 </w:t>
      </w:r>
      <w:proofErr w:type="spellStart"/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г.п</w:t>
      </w:r>
      <w:proofErr w:type="spellEnd"/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Кузьмоловский</w:t>
      </w:r>
      <w:proofErr w:type="spellEnd"/>
    </w:p>
    <w:p w:rsidR="00B20957" w:rsidRPr="007A3C49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и условиях размещения</w:t>
      </w:r>
    </w:p>
    <w:p w:rsidR="00BC58CA" w:rsidRDefault="00B2095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землях или земельных участках, находящихся</w:t>
      </w:r>
      <w:r w:rsidR="00BC5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79BA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</w:t>
      </w:r>
      <w:r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«Кузьмоловское городское поселение» Всеволожского муниципального района Ленинградской области </w:t>
      </w:r>
    </w:p>
    <w:p w:rsidR="00B20957" w:rsidRPr="007A3C49" w:rsidRDefault="00B2095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предоставления земельных участков</w:t>
      </w:r>
      <w:r w:rsidR="00BC5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C49">
        <w:rPr>
          <w:rFonts w:ascii="Times New Roman" w:hAnsi="Times New Roman" w:cs="Times New Roman"/>
          <w:b/>
          <w:sz w:val="28"/>
          <w:szCs w:val="28"/>
        </w:rPr>
        <w:t xml:space="preserve">и установления сервитутов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0957" w:rsidRPr="007A3C49" w:rsidRDefault="00B20957" w:rsidP="00B20957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статьями 39.33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39.34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39.35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частью 3 статьи 39.36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5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</w:t>
      </w:r>
      <w:r w:rsidR="001B79BA"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 от 03.12.</w:t>
      </w:r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hyperlink r:id="rId16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</w:t>
      </w:r>
      <w:hyperlink r:id="rId17" w:history="1">
        <w:r w:rsidRPr="007A3C4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приказом</w:t>
        </w:r>
      </w:hyperlink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Леноблкомимущества</w:t>
      </w:r>
      <w:proofErr w:type="spellEnd"/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</w:t>
      </w:r>
      <w:r w:rsidR="001B79BA"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.01.2016 </w:t>
      </w:r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 «Об установлении коэффициента разрешенного использования земельного участка»</w:t>
      </w:r>
      <w:r w:rsidR="00266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A3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3C4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совет депутатов принял  </w:t>
      </w:r>
    </w:p>
    <w:p w:rsidR="00B20957" w:rsidRPr="007A3C49" w:rsidRDefault="00B20957" w:rsidP="00B209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B20957" w:rsidRPr="007A3C49" w:rsidRDefault="00B20957" w:rsidP="00B2095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20957" w:rsidRPr="007A3C49" w:rsidRDefault="00B20957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Утвердить прилагаемое Положение о порядке и условиях размещения объектов на землях или земельных участках, находящихся на территории </w:t>
      </w:r>
      <w:r w:rsidR="001B79BA" w:rsidRPr="007A3C49">
        <w:rPr>
          <w:sz w:val="28"/>
          <w:szCs w:val="28"/>
        </w:rPr>
        <w:t>м</w:t>
      </w:r>
      <w:r w:rsidRPr="007A3C49">
        <w:rPr>
          <w:sz w:val="28"/>
          <w:szCs w:val="28"/>
        </w:rPr>
        <w:t>униципального образования «Кузьмоловское городское поселение» Всеволожского муниципального района Ленинградской области, без предоставления земельных участков и установления сервитутов</w:t>
      </w:r>
      <w:r w:rsidR="001B79BA" w:rsidRPr="007A3C49">
        <w:rPr>
          <w:sz w:val="28"/>
          <w:szCs w:val="28"/>
        </w:rPr>
        <w:t xml:space="preserve"> (Приложение №1).</w:t>
      </w:r>
      <w:r w:rsidRPr="007A3C49">
        <w:rPr>
          <w:sz w:val="28"/>
          <w:szCs w:val="28"/>
        </w:rPr>
        <w:t xml:space="preserve"> </w:t>
      </w:r>
    </w:p>
    <w:p w:rsidR="00B20957" w:rsidRPr="007A3C49" w:rsidRDefault="00B20957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lastRenderedPageBreak/>
        <w:t xml:space="preserve">Утвердить прилагаемую </w:t>
      </w:r>
      <w:hyperlink w:anchor="P164" w:history="1">
        <w:r w:rsidRPr="007A3C49">
          <w:rPr>
            <w:rStyle w:val="a6"/>
            <w:color w:val="000000" w:themeColor="text1"/>
            <w:sz w:val="28"/>
            <w:szCs w:val="28"/>
            <w:u w:val="none"/>
          </w:rPr>
          <w:t>форму</w:t>
        </w:r>
      </w:hyperlink>
      <w:r w:rsidRPr="007A3C49">
        <w:rPr>
          <w:color w:val="000000" w:themeColor="text1"/>
          <w:sz w:val="28"/>
          <w:szCs w:val="28"/>
        </w:rPr>
        <w:t xml:space="preserve"> </w:t>
      </w:r>
      <w:r w:rsidRPr="007A3C49">
        <w:rPr>
          <w:sz w:val="28"/>
          <w:szCs w:val="28"/>
        </w:rPr>
        <w:t xml:space="preserve">решения уполномоченного органа о размещении объекта на землях или земельных участках, находящихся на территории </w:t>
      </w:r>
      <w:r w:rsidR="001B79BA" w:rsidRPr="007A3C49">
        <w:rPr>
          <w:sz w:val="28"/>
          <w:szCs w:val="28"/>
        </w:rPr>
        <w:t>м</w:t>
      </w:r>
      <w:r w:rsidRPr="007A3C49">
        <w:rPr>
          <w:sz w:val="28"/>
          <w:szCs w:val="28"/>
        </w:rPr>
        <w:t>униципального образования «Кузьмоловское городское поселение» Всеволожского муниципального района Ленинградской области, без предоставления земельных участков и установления сервитутов</w:t>
      </w:r>
      <w:r w:rsidR="001B79BA" w:rsidRPr="007A3C49">
        <w:rPr>
          <w:sz w:val="28"/>
          <w:szCs w:val="28"/>
        </w:rPr>
        <w:t>.</w:t>
      </w:r>
    </w:p>
    <w:p w:rsidR="00B20957" w:rsidRPr="007A3C49" w:rsidRDefault="00B20957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Утвердить прилагаемый порядок определения размера платы за размещение объектов на землях или земельных участках, находящихся на территории </w:t>
      </w:r>
      <w:r w:rsidR="001B79BA" w:rsidRPr="007A3C49">
        <w:rPr>
          <w:sz w:val="28"/>
          <w:szCs w:val="28"/>
        </w:rPr>
        <w:t>м</w:t>
      </w:r>
      <w:r w:rsidRPr="007A3C49">
        <w:rPr>
          <w:sz w:val="28"/>
          <w:szCs w:val="28"/>
        </w:rPr>
        <w:t>униципального образования «Кузьмоловское городское поселение» Всеволожского муниципального района Ленинградской области, без предоставления земельных участков и установления сервитутов</w:t>
      </w:r>
      <w:r w:rsidR="001B79BA" w:rsidRPr="007A3C49">
        <w:rPr>
          <w:sz w:val="28"/>
          <w:szCs w:val="28"/>
        </w:rPr>
        <w:t>.</w:t>
      </w:r>
    </w:p>
    <w:p w:rsidR="00B20957" w:rsidRPr="007A3C49" w:rsidRDefault="001B79BA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t>Опубликовать настоящее решение в газете «</w:t>
      </w:r>
      <w:proofErr w:type="spellStart"/>
      <w:r w:rsidRPr="007A3C49">
        <w:rPr>
          <w:sz w:val="28"/>
          <w:szCs w:val="28"/>
        </w:rPr>
        <w:t>Кузьмоловский</w:t>
      </w:r>
      <w:proofErr w:type="spellEnd"/>
      <w:r w:rsidRPr="007A3C49">
        <w:rPr>
          <w:sz w:val="28"/>
          <w:szCs w:val="28"/>
        </w:rPr>
        <w:t xml:space="preserve"> вестник», приложение к газете «Всеволожские вести», и разместить на официальном сайте муниципального образования в информационно-телекоммуникационной сети «Интернет» </w:t>
      </w:r>
      <w:hyperlink r:id="rId18" w:history="1">
        <w:r w:rsidRPr="007A3C49">
          <w:rPr>
            <w:rStyle w:val="a6"/>
            <w:sz w:val="28"/>
            <w:szCs w:val="28"/>
            <w:lang w:val="en-US"/>
          </w:rPr>
          <w:t>www</w:t>
        </w:r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kuzmolovskoegp</w:t>
        </w:r>
        <w:proofErr w:type="spellEnd"/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A3C49">
        <w:t>.</w:t>
      </w:r>
    </w:p>
    <w:p w:rsidR="001B79BA" w:rsidRPr="007A3C49" w:rsidRDefault="001B79BA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B79BA" w:rsidRPr="007A3C49" w:rsidRDefault="001B79BA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t>Решение вступает в силу со дня его официального опубликования.</w:t>
      </w:r>
    </w:p>
    <w:p w:rsidR="001B79BA" w:rsidRPr="007A3C49" w:rsidRDefault="001B79BA" w:rsidP="001B79BA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Контроль исполнения решения возложить на постоянную </w:t>
      </w:r>
      <w:r w:rsidR="0026642A">
        <w:rPr>
          <w:sz w:val="28"/>
          <w:szCs w:val="28"/>
        </w:rPr>
        <w:t>к</w:t>
      </w:r>
      <w:r w:rsidR="0026642A" w:rsidRPr="0026642A">
        <w:rPr>
          <w:sz w:val="28"/>
          <w:szCs w:val="28"/>
        </w:rPr>
        <w:t>омисси</w:t>
      </w:r>
      <w:r w:rsidR="0026642A">
        <w:rPr>
          <w:sz w:val="28"/>
          <w:szCs w:val="28"/>
        </w:rPr>
        <w:t>ю</w:t>
      </w:r>
      <w:r w:rsidR="0026642A" w:rsidRPr="0026642A">
        <w:rPr>
          <w:sz w:val="28"/>
          <w:szCs w:val="28"/>
        </w:rPr>
        <w:t xml:space="preserve"> по бюджету, налогам, собственности, промышленности и инвестициям</w:t>
      </w:r>
      <w:bookmarkStart w:id="0" w:name="_GoBack"/>
      <w:bookmarkEnd w:id="0"/>
      <w:r w:rsidRPr="007A3C49">
        <w:rPr>
          <w:sz w:val="28"/>
          <w:szCs w:val="28"/>
        </w:rPr>
        <w:t>.</w:t>
      </w:r>
    </w:p>
    <w:p w:rsidR="00B20957" w:rsidRPr="007A3C49" w:rsidRDefault="00B20957" w:rsidP="001B7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                 Т.В. </w:t>
      </w:r>
      <w:proofErr w:type="spellStart"/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Банкис</w:t>
      </w:r>
      <w:proofErr w:type="spellEnd"/>
    </w:p>
    <w:p w:rsidR="00B20957" w:rsidRPr="007A3C49" w:rsidRDefault="00B20957" w:rsidP="00B209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 w:rsidP="001B79BA">
      <w:pPr>
        <w:pStyle w:val="ConsPlusNormal"/>
        <w:jc w:val="both"/>
        <w:rPr>
          <w:rFonts w:ascii="Times New Roman" w:hAnsi="Times New Roman" w:cs="Times New Roman"/>
        </w:rPr>
      </w:pPr>
    </w:p>
    <w:p w:rsidR="001B79BA" w:rsidRPr="007A3C49" w:rsidRDefault="001B79BA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1B79BA" w:rsidRPr="007A3C49" w:rsidRDefault="001B79BA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:rsidR="001B79BA" w:rsidRPr="007A3C49" w:rsidRDefault="001B79BA" w:rsidP="001B7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____________№ ___ </w:t>
      </w:r>
    </w:p>
    <w:p w:rsidR="00B20957" w:rsidRPr="0026642A" w:rsidRDefault="00B20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0957" w:rsidRPr="0026642A" w:rsidRDefault="00B209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1B79BA" w:rsidRPr="0026642A" w:rsidRDefault="001B79BA" w:rsidP="001B79B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И УСЛОВИЯХ РАЗМЕЩЕНИЯ</w:t>
      </w:r>
    </w:p>
    <w:p w:rsidR="001B79BA" w:rsidRPr="0026642A" w:rsidRDefault="001B79BA" w:rsidP="001B79B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 ЗЕМЛЯХ ИЛИ ЗЕМЕЛЬНЫХ УЧАСТКАХ, НАХОДЯЩИХСЯ</w:t>
      </w:r>
    </w:p>
    <w:p w:rsidR="001B79BA" w:rsidRPr="0026642A" w:rsidRDefault="001B79BA" w:rsidP="001B79B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«КУЗЬМОЛОВСКОЕ ГОРОДСКОЕ ПОСЕЛЕНИЕ» ВСЕВОЛОЖСКОГО МУНИЦИПАЛЬНОГО РАЙОНА ЛЕНИНГРАДСКОЙ ОБЛАСТИ БЕЗ ПРЕДОСТАВЛЕНИЯ ЗЕМЕЛЬНЫХ УЧАСТКОВ</w:t>
      </w:r>
    </w:p>
    <w:p w:rsidR="00B20957" w:rsidRPr="0026642A" w:rsidRDefault="001B79BA" w:rsidP="001B79B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И УСТАНОВЛЕНИЯ СЕРВИТУТОВ (ДАЛЕЕ - ПОЛОЖЕНИЕ)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957" w:rsidRPr="0026642A" w:rsidRDefault="00B2095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Порядок и условия размещения объектов на землях или земельных участках, находящихся на территории </w:t>
      </w:r>
      <w:r w:rsidR="001B79BA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предоставления земельных участков и установления сервитутов (далее - Порядок и условия) устанавливают порядок и условия размещения объектов, включенных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объект, перечень), утвержденный </w:t>
      </w:r>
      <w:hyperlink r:id="rId19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</w:t>
      </w:r>
      <w:r w:rsidR="001B79BA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03.12.2014 № 1300 «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B79BA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стков и установления сервитутов»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1.2. Действие настоящего Порядка не распространяется на случаи размещения нестационарных торговых объектов, рекламных конструкций.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957" w:rsidRPr="0026642A" w:rsidRDefault="00B2095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размещения объектов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Размещение объекта на землях и земельных участках, находящихся на территории </w:t>
      </w:r>
      <w:r w:rsidR="001B79BA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, без предоставления земельных участков и установления сервитутов (далее - земельные участки) осуществляется на основании решения на размещение объекта без предоставления земельного участка и установления сервитута (далее - Решение).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2.1.1. Решение выдается на срок планируемого размещения объекта, указанный в заявлении о выдаче решения на размещение объекта без предоставления земельного участка и установления сервитута (далее - заявление), за исключением размещения объектов, необходимых для пользования недрами.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2.1.2. В случае если получение решения необходимо для размещения объектов, связанных с использованием недр, решение выдается на срок, не превышающий срока действия лицензии на право пользования недрами.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2.1.3. Особенности размещения объектов, связанных с предпринимательской деятельностью, установлены </w:t>
      </w:r>
      <w:hyperlink w:anchor="P136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Порядка и условий.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За размещение объекта с заявителей взимается плата, за исключением случаев, предусмотренных </w:t>
      </w:r>
      <w:hyperlink w:anchor="P142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Порядка и условий.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2.1.5. Порядок определения платы за размещение объектов, в том числе платы за размещение объектов, связанных с предпринимательской деятельностью, установлен в </w:t>
      </w:r>
      <w:hyperlink w:anchor="P136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3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условий.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2.2. В целях применения настоящих Порядка и условий объектами, связанными с предпринимательской деятельностью, признаются: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элементы благоустройства территории в случаях, если такие элементы будут использоваться в целях оказания платных услуг;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пруды-испарители;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строительство, в случаях, если эти объекты будут использоваться в целях оказания платных услуг;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лодочные станции,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пункты приема вторичного сырья,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передвижные цирки, передвижные зоопарки и передвижные луна-парки;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сезонные аттракционы;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велопарковки</w:t>
      </w:r>
      <w:proofErr w:type="spellEnd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, пользование которыми будет осуществляться за плату;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платежные терминалы для оплаты услуг и штрафов;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общественные туалеты нестационарного типа;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геодезические, межевые, предупреждающие и иные знаки, включая информационные табло (стелы) и флагштоки;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площадки для дрессировки собак;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зарядные станции (терминалы) для электротранспорта;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и детские площадки, размещение которых осуществляется в целях оказания платных услуг;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линии связи, линейно-кабельные сооружения связи и иные сооружения связи, для 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водопроводы и водоводы всех видов,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линии электропередачи классом напряжения до 35 </w:t>
      </w:r>
      <w:proofErr w:type="spellStart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645AF" w:rsidRPr="0026642A" w:rsidRDefault="00E645AF" w:rsidP="00E645AF">
      <w:pPr>
        <w:pStyle w:val="ConsPlusNormal"/>
        <w:spacing w:before="22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Решение выдается на основании заявления, которое подается заинтересованным лицом (далее - заявитель) в администрацию муниципального образования 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(далее - уполномоченный орган).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2.3.1. В заявлении должны быть указаны: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д) вид объекта, предполагаемого к размещению на землях или земельном участке;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срока размещения и эксплуатации объекта);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ж) предполагаемая цель использования земель или земельного участка;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з) кадастровый номер земельного участка;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и)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2.3.2. В заявлении Заявитель вправе указать: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1) предполагаемое место размещения объектов, обоснование их размещения на планируемом земельном участке, а также примерный размер площади земельного участка, необходимой для размещения объектов;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2) необходимость установления для размещаемых объектов охранной, санитарно-защитной, иной зоны, устанавливаемой в соответствии с законодательством Российской Федерации (далее - зоны с особыми условиями использования земель);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3)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4) цели использования и срок использования земель или земельного участка;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5) основания, подтверждающие отсутствие необходимости в получении разрешения на строительство объектов.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2.3.3. К заявлению прилагаются: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схема </w:t>
      </w:r>
      <w:proofErr w:type="gramStart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границ</w:t>
      </w:r>
      <w:proofErr w:type="gramEnd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2.3.4. Заявитель вправе по собственной инициативе вместе с заявлением представить следующие документы: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иные документы, подтверждающие основания для использования земель или земельного участка в целях, предусмотренных </w:t>
      </w:r>
      <w:hyperlink r:id="rId20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39.36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обосновывающие необходимость использования земельного участка для размещения объекта (технические условия и т.п.);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4)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размещения объектов).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Уполномоченный орган в течение 10 рабочих дней со дня регистрации заявления и 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прилагаемых к нему документов и в течение 3 рабочих дней со дня принятия соответствующего решения выдает разрешение, к которому прикладывается схема границ предполагаемых к использованию земель или части земельного участка на кадастровом плане территории и расчет платы за получение разрешения (в случае, установленном </w:t>
      </w:r>
      <w:hyperlink w:anchor="P136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Положения), либо принимает решение об отказе в получении разрешения.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2.5. Разрешение выдается заявителю на срок, указанный в заявлении, и должно содержать: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1) кадастровый номер земельного участка (в случае если земельный участок поставлен на кадастровый учет);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наименование планируемого к размещению объекта, вид которого определен перечнем объектов;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3) указание заявителя, в отношении которого выдано разрешение;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4) срок использования земель или земельного участка;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размер платы за получение разрешения (в случае, установленном </w:t>
      </w:r>
      <w:hyperlink w:anchor="P136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Положения);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6) указание на обязанности заявителя, в отношении которого выдано разрешение, выполнить следующие требования: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выполнить предусмотренные </w:t>
      </w:r>
      <w:hyperlink r:id="rId21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39.35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б) установить охранную (защитную) зону в случаях, предусмотренных законодательством;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в) выполнять установленные в отношении земельного участка ограничения (в случаях, установленных действующим законодательством Российской Федерации).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об отказе в получении разрешения принимается в следующих случаях: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пунктами данного Положения;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заявлении указаны объекты, предполагаемые к размещению, не предусмотренные </w:t>
      </w:r>
      <w:hyperlink r:id="rId22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03.12.2014 года № 1300 «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стков и установления сервитутов»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в) в заявлении указана цель использования земель или земельного участка, не соответствующая назначению объекта;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земельного участка в соответствии со </w:t>
      </w:r>
      <w:hyperlink r:id="rId23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39.15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</w:t>
      </w:r>
      <w:hyperlink r:id="rId24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39.11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з)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и(или) иным установленным в соответствии с законодательством Российской Федерации правилам, нормативам, в том числе правилам благоустройства и(или) нормативам градостроительного проектирования.</w:t>
      </w:r>
    </w:p>
    <w:p w:rsidR="00B20957" w:rsidRPr="0026642A" w:rsidRDefault="00D1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B20957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. Прекращение действия разрешения происходит в следующих случаях: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1) срок, на который выдано разрешение, истек;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2) объекты, для размещения которых выдано разрешение, не эксплуатируются в течение месяца, а также если указанные объекты демонтированы;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3) при использовании земельного участка с нарушением требований законодательства Российской Федерации;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изъятии земельного участка для государственных или муниципальных нужд в соответствии с правилами, предусмотренными Земельным </w:t>
      </w:r>
      <w:hyperlink r:id="rId25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При возникновении случаев, указанных в настоящем пункте, уполномоченный орган принимает решение о прекращении использования земель или земельного участка.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957" w:rsidRPr="0026642A" w:rsidRDefault="00B20957" w:rsidP="001B79B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36"/>
      <w:bookmarkEnd w:id="2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3. Плата за размещение объектов</w:t>
      </w:r>
    </w:p>
    <w:p w:rsidR="00B20957" w:rsidRPr="0026642A" w:rsidRDefault="00B2095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Размещение объекта осуществляется за плату на основании </w:t>
      </w:r>
      <w:hyperlink w:anchor="P195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платы за размещение (Приложение 1). Коэффициент индексации ежегодно устанавливается Правительством Ленинградской области.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3.2. Плата за размещение объекта вносится ежемесячно равными долями не позднее 20 числа текущего месяца и зачисляется в соответствующий бюджет, за счет которого содержится уполномоченный орган.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2"/>
      <w:bookmarkEnd w:id="3"/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Плата за размещение объектов на территории 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могут быть размещены на землях или земельных участках, находящихся без предоставления земельных участков и установления сервитутов не взимается в случае выдачи разрешения: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лиц, указанных в </w:t>
      </w:r>
      <w:hyperlink r:id="rId26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статьи 39.9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случаев размещения объектов на основании государственного либо муниципального 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контракта;</w:t>
      </w:r>
    </w:p>
    <w:p w:rsidR="00B20957" w:rsidRPr="0026642A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- объекты, входящие в перечень Постановления Прав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ительства Российской Федерации №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1300 от </w:t>
      </w:r>
      <w:r w:rsidR="00D12B46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03.12.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2014 года (</w:t>
      </w:r>
      <w:hyperlink r:id="rId27" w:history="1">
        <w:r w:rsidR="00960836"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1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2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17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3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4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A7F10" w:rsidRPr="0026642A" w:rsidRDefault="00B20957" w:rsidP="00BA7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Размер платы за использование земельного участка устанавливается в денежной форме и перечисляется </w:t>
      </w:r>
      <w:r w:rsidR="00BA7F10" w:rsidRPr="0026642A">
        <w:rPr>
          <w:rFonts w:ascii="Times New Roman" w:hAnsi="Times New Roman" w:cs="Times New Roman"/>
          <w:sz w:val="24"/>
          <w:szCs w:val="24"/>
        </w:rPr>
        <w:t>на единый казначейский счёт 40102810745370000006, казначейский счет 03100643000000014500, Банк получателя - Отделение Ленинградское Банка России, БИК 014106101, получатель УФК по Ленинградской области (Администрация муниципального образования «Кузьмоловское городское поселение» Всеволожского муниципального района Ленинградской области л/</w:t>
      </w:r>
      <w:proofErr w:type="spellStart"/>
      <w:r w:rsidR="00BA7F10" w:rsidRPr="0026642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BA7F10" w:rsidRPr="0026642A">
        <w:rPr>
          <w:rFonts w:ascii="Times New Roman" w:hAnsi="Times New Roman" w:cs="Times New Roman"/>
          <w:sz w:val="24"/>
          <w:szCs w:val="24"/>
        </w:rPr>
        <w:t>. 04453004300), ИНН 4703083449, КПП 470301001, ОКТМО 41612158, КБК 001 1 11 05313 13 0000 120.</w:t>
      </w:r>
    </w:p>
    <w:p w:rsidR="00B20957" w:rsidRPr="0026642A" w:rsidRDefault="00B20957" w:rsidP="00BA7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Налог на добавленную стоимость, начисляемый за плату на основании решения, в соответствии с положениями </w:t>
      </w:r>
      <w:hyperlink r:id="rId35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164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</w:t>
      </w:r>
      <w:r w:rsidR="00BA7F10"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>и (далее - НК РФ) уплачивается «Заявителем»</w:t>
      </w:r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бюджет в соответствии с положением </w:t>
      </w:r>
      <w:hyperlink r:id="rId36" w:history="1">
        <w:r w:rsidRPr="0026642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161</w:t>
        </w:r>
      </w:hyperlink>
      <w:r w:rsidRPr="0026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НК.</w:t>
      </w: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957" w:rsidRPr="0026642A" w:rsidRDefault="00B20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Pr="007A3C49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2DA1" w:rsidRDefault="002F2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2DA1" w:rsidRPr="007A3C49" w:rsidRDefault="002F2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3C49" w:rsidRPr="007A3C49" w:rsidRDefault="007A3C49" w:rsidP="007A3C49">
      <w:pPr>
        <w:pStyle w:val="ConsPlusNormal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lastRenderedPageBreak/>
        <w:t>Приложение №2</w:t>
      </w:r>
    </w:p>
    <w:p w:rsidR="007A3C49" w:rsidRPr="007A3C49" w:rsidRDefault="007A3C49" w:rsidP="007A3C49">
      <w:pPr>
        <w:pStyle w:val="ConsPlusNormal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к решению совета депутатов</w:t>
      </w:r>
    </w:p>
    <w:p w:rsidR="00B20957" w:rsidRPr="007A3C49" w:rsidRDefault="007A3C49" w:rsidP="007A3C49">
      <w:pPr>
        <w:pStyle w:val="ConsPlusNormal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от ____________№ ___</w:t>
      </w:r>
    </w:p>
    <w:p w:rsidR="00B20957" w:rsidRPr="007A3C49" w:rsidRDefault="00B20957">
      <w:pPr>
        <w:pStyle w:val="ConsPlusNormal"/>
        <w:jc w:val="center"/>
        <w:rPr>
          <w:rFonts w:ascii="Times New Roman" w:hAnsi="Times New Roman" w:cs="Times New Roman"/>
        </w:rPr>
      </w:pPr>
    </w:p>
    <w:p w:rsidR="007A3C49" w:rsidRPr="007A3C49" w:rsidRDefault="007A3C49" w:rsidP="007A3C4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A3C49" w:rsidRPr="007A3C49" w:rsidRDefault="007A3C49" w:rsidP="007A3C49">
      <w:pPr>
        <w:pStyle w:val="ConsPlusNormal"/>
        <w:jc w:val="center"/>
        <w:rPr>
          <w:rFonts w:ascii="Times New Roman" w:hAnsi="Times New Roman" w:cs="Times New Roman"/>
          <w:b/>
        </w:rPr>
      </w:pPr>
      <w:r w:rsidRPr="007A3C49">
        <w:rPr>
          <w:rFonts w:ascii="Times New Roman" w:hAnsi="Times New Roman" w:cs="Times New Roman"/>
          <w:b/>
        </w:rPr>
        <w:t>МУНИЦИПАЛЬНОЕ ОБРАЗОВАНИЕ</w:t>
      </w:r>
    </w:p>
    <w:p w:rsidR="007A3C49" w:rsidRPr="007A3C49" w:rsidRDefault="007A3C49" w:rsidP="007A3C49">
      <w:pPr>
        <w:pStyle w:val="ConsPlusNormal"/>
        <w:jc w:val="center"/>
        <w:rPr>
          <w:rFonts w:ascii="Times New Roman" w:hAnsi="Times New Roman" w:cs="Times New Roman"/>
          <w:b/>
        </w:rPr>
      </w:pPr>
      <w:r w:rsidRPr="007A3C49">
        <w:rPr>
          <w:rFonts w:ascii="Times New Roman" w:hAnsi="Times New Roman" w:cs="Times New Roman"/>
          <w:b/>
        </w:rPr>
        <w:t>«КУЗЬМОЛОВСКОЕ ГОРОДСКОЕ ПОСЕЛЕНИЕ»</w:t>
      </w:r>
    </w:p>
    <w:p w:rsidR="007A3C49" w:rsidRPr="007A3C49" w:rsidRDefault="007A3C49" w:rsidP="007A3C49">
      <w:pPr>
        <w:pStyle w:val="ConsPlusNormal"/>
        <w:jc w:val="center"/>
        <w:rPr>
          <w:rFonts w:ascii="Times New Roman" w:hAnsi="Times New Roman" w:cs="Times New Roman"/>
          <w:b/>
        </w:rPr>
      </w:pPr>
      <w:r w:rsidRPr="007A3C49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7A3C49" w:rsidRPr="007A3C49" w:rsidRDefault="007A3C49" w:rsidP="007A3C49">
      <w:pPr>
        <w:pStyle w:val="ConsPlusNormal"/>
        <w:jc w:val="center"/>
        <w:rPr>
          <w:rFonts w:ascii="Times New Roman" w:hAnsi="Times New Roman" w:cs="Times New Roman"/>
          <w:b/>
        </w:rPr>
      </w:pPr>
      <w:r w:rsidRPr="007A3C49">
        <w:rPr>
          <w:rFonts w:ascii="Times New Roman" w:hAnsi="Times New Roman" w:cs="Times New Roman"/>
          <w:b/>
        </w:rPr>
        <w:t>ЛЕНИНГРАДСКОЙ ОБЛАСТИ</w:t>
      </w:r>
    </w:p>
    <w:p w:rsidR="00B20957" w:rsidRPr="007A3C49" w:rsidRDefault="007A3C49" w:rsidP="007A3C49">
      <w:pPr>
        <w:pStyle w:val="ConsPlusNormal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  <w:b/>
        </w:rPr>
        <w:t>АДМИНИСТРАЦИЯ</w:t>
      </w:r>
    </w:p>
    <w:p w:rsidR="007A3C49" w:rsidRDefault="007A3C4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164"/>
      <w:bookmarkEnd w:id="4"/>
    </w:p>
    <w:p w:rsidR="00B20957" w:rsidRPr="007A3C49" w:rsidRDefault="00B20957">
      <w:pPr>
        <w:pStyle w:val="ConsPlusNormal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  <w:b/>
        </w:rPr>
        <w:t>ПОСТАНОВЛЕНИЕ</w:t>
      </w:r>
    </w:p>
    <w:p w:rsidR="00B20957" w:rsidRPr="007A3C49" w:rsidRDefault="00B20957">
      <w:pPr>
        <w:pStyle w:val="ConsPlusNormal"/>
        <w:jc w:val="center"/>
        <w:rPr>
          <w:rFonts w:ascii="Times New Roman" w:hAnsi="Times New Roman" w:cs="Times New Roman"/>
        </w:rPr>
      </w:pPr>
    </w:p>
    <w:p w:rsidR="008D468D" w:rsidRPr="008D468D" w:rsidRDefault="008D468D" w:rsidP="008D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202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D4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</w:t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8D468D" w:rsidRPr="008D468D" w:rsidRDefault="008D468D" w:rsidP="008D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8D46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Кузьмоловский</w:t>
      </w:r>
      <w:proofErr w:type="spellEnd"/>
    </w:p>
    <w:p w:rsidR="00B20957" w:rsidRPr="007A3C49" w:rsidRDefault="00B20957">
      <w:pPr>
        <w:pStyle w:val="ConsPlusNormal"/>
        <w:jc w:val="center"/>
        <w:rPr>
          <w:rFonts w:ascii="Times New Roman" w:hAnsi="Times New Roman" w:cs="Times New Roman"/>
        </w:rPr>
      </w:pPr>
    </w:p>
    <w:p w:rsidR="00B20957" w:rsidRDefault="00B20957" w:rsidP="007A3C49">
      <w:pPr>
        <w:pStyle w:val="ConsPlusNormal"/>
        <w:rPr>
          <w:rFonts w:ascii="Times New Roman" w:hAnsi="Times New Roman" w:cs="Times New Roman"/>
          <w:b/>
        </w:rPr>
      </w:pPr>
      <w:r w:rsidRPr="007A3C49">
        <w:rPr>
          <w:rFonts w:ascii="Times New Roman" w:hAnsi="Times New Roman" w:cs="Times New Roman"/>
          <w:b/>
        </w:rPr>
        <w:t xml:space="preserve">О размещении объекта </w:t>
      </w:r>
      <w:r w:rsidR="007A3C49">
        <w:rPr>
          <w:rFonts w:ascii="Times New Roman" w:hAnsi="Times New Roman" w:cs="Times New Roman"/>
          <w:b/>
        </w:rPr>
        <w:t>___________</w:t>
      </w:r>
    </w:p>
    <w:p w:rsidR="007A3C49" w:rsidRDefault="007A3C49" w:rsidP="007A3C49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A3C49" w:rsidRPr="007A3C49" w:rsidRDefault="007A3C49" w:rsidP="007A3C49">
      <w:pPr>
        <w:pStyle w:val="ConsPlusNormal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8166E5" w:rsidP="008166E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166E5">
        <w:rPr>
          <w:rFonts w:ascii="Times New Roman" w:hAnsi="Times New Roman" w:cs="Times New Roman"/>
        </w:rPr>
        <w:t xml:space="preserve">Рассмотрев заявление </w:t>
      </w:r>
      <w:r>
        <w:rPr>
          <w:rFonts w:ascii="Times New Roman" w:hAnsi="Times New Roman" w:cs="Times New Roman"/>
        </w:rPr>
        <w:t>_____________________</w:t>
      </w:r>
      <w:r w:rsidRPr="008166E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 №__________</w:t>
      </w:r>
      <w:r w:rsidRPr="008166E5">
        <w:rPr>
          <w:rFonts w:ascii="Times New Roman" w:hAnsi="Times New Roman" w:cs="Times New Roman"/>
        </w:rPr>
        <w:t xml:space="preserve">, руководствуясь ст. 14 Федерального закона «Об общих принципах организации местного самоуправления в Российской Федерации», </w:t>
      </w:r>
      <w:r w:rsidRPr="008166E5">
        <w:rPr>
          <w:rFonts w:ascii="Times New Roman" w:hAnsi="Times New Roman" w:cs="Times New Roman"/>
          <w:lang w:val="en-US"/>
        </w:rPr>
        <w:t>c</w:t>
      </w:r>
      <w:r w:rsidRPr="008166E5">
        <w:rPr>
          <w:rFonts w:ascii="Times New Roman" w:hAnsi="Times New Roman" w:cs="Times New Roman"/>
        </w:rPr>
        <w:t>т. ст. 39.33,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Областным законом Ленинградской области от 18.05.2012 № 38-оз «Об установлении случаев, при которых не требуется получение разрешения на строительство на тер</w:t>
      </w:r>
      <w:r>
        <w:rPr>
          <w:rFonts w:ascii="Times New Roman" w:hAnsi="Times New Roman" w:cs="Times New Roman"/>
        </w:rPr>
        <w:t>ритории Ленинградской области»</w:t>
      </w:r>
      <w:r w:rsidRPr="008166E5">
        <w:rPr>
          <w:rFonts w:ascii="Times New Roman" w:hAnsi="Times New Roman" w:cs="Times New Roman"/>
        </w:rPr>
        <w:t>,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области»</w:t>
      </w:r>
    </w:p>
    <w:p w:rsidR="00B20957" w:rsidRPr="007A3C49" w:rsidRDefault="00B20957">
      <w:pPr>
        <w:pStyle w:val="ConsPlusNormal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  <w:b/>
        </w:rPr>
        <w:t>ПОСТАНОВЛЯЕТ: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8166E5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1</w:t>
      </w:r>
      <w:r w:rsidRPr="008166E5">
        <w:rPr>
          <w:rFonts w:ascii="Times New Roman" w:hAnsi="Times New Roman" w:cs="Times New Roman"/>
        </w:rPr>
        <w:t xml:space="preserve">. Разместить объект: ________, сроком до ______ (включительно) на земельном участке в соответствии с приложенной схемой размещения объекта, площадью ___ кв. м, из категории земель - ___________ с целью использования: ___________, </w:t>
      </w:r>
      <w:proofErr w:type="gramStart"/>
      <w:r w:rsidRPr="008166E5">
        <w:rPr>
          <w:rFonts w:ascii="Times New Roman" w:hAnsi="Times New Roman" w:cs="Times New Roman"/>
        </w:rPr>
        <w:t>местоположение:</w:t>
      </w:r>
      <w:r w:rsidR="008166E5" w:rsidRPr="008166E5">
        <w:rPr>
          <w:rFonts w:ascii="Times New Roman" w:hAnsi="Times New Roman" w:cs="Times New Roman"/>
        </w:rPr>
        <w:t>_</w:t>
      </w:r>
      <w:proofErr w:type="gramEnd"/>
      <w:r w:rsidR="008166E5" w:rsidRPr="008166E5">
        <w:rPr>
          <w:rFonts w:ascii="Times New Roman" w:hAnsi="Times New Roman" w:cs="Times New Roman"/>
        </w:rPr>
        <w:t>_________________</w:t>
      </w:r>
      <w:r w:rsidRPr="008166E5">
        <w:rPr>
          <w:rFonts w:ascii="Times New Roman" w:hAnsi="Times New Roman" w:cs="Times New Roman"/>
        </w:rPr>
        <w:t xml:space="preserve">, в соответствии со </w:t>
      </w:r>
      <w:hyperlink w:anchor="P182" w:history="1">
        <w:r w:rsidRPr="008166E5">
          <w:rPr>
            <w:rFonts w:ascii="Times New Roman" w:hAnsi="Times New Roman" w:cs="Times New Roman"/>
          </w:rPr>
          <w:t>схемой</w:t>
        </w:r>
      </w:hyperlink>
      <w:r w:rsidRPr="008166E5">
        <w:rPr>
          <w:rFonts w:ascii="Times New Roman" w:hAnsi="Times New Roman" w:cs="Times New Roman"/>
        </w:rPr>
        <w:t xml:space="preserve"> границ земель, предполагаемых к использованию под размещение объекта на кадастровом плане территории, согласно приложению.</w:t>
      </w:r>
    </w:p>
    <w:p w:rsidR="00B20957" w:rsidRPr="007A3C49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66E5">
        <w:rPr>
          <w:rFonts w:ascii="Times New Roman" w:hAnsi="Times New Roman" w:cs="Times New Roman"/>
        </w:rPr>
        <w:t xml:space="preserve">2. Установить плату за размещение объекта: __________, площадью ____ кв. м, из категории земель - ______ с целью использования: _________, местоположение: </w:t>
      </w:r>
      <w:r w:rsidR="00D56A8C">
        <w:rPr>
          <w:rFonts w:ascii="Times New Roman" w:hAnsi="Times New Roman" w:cs="Times New Roman"/>
        </w:rPr>
        <w:t>______________</w:t>
      </w:r>
      <w:r w:rsidRPr="008166E5">
        <w:rPr>
          <w:rFonts w:ascii="Times New Roman" w:hAnsi="Times New Roman" w:cs="Times New Roman"/>
        </w:rPr>
        <w:t xml:space="preserve">в соответствии со </w:t>
      </w:r>
      <w:hyperlink w:anchor="P182" w:history="1">
        <w:r w:rsidRPr="008166E5">
          <w:rPr>
            <w:rFonts w:ascii="Times New Roman" w:hAnsi="Times New Roman" w:cs="Times New Roman"/>
          </w:rPr>
          <w:t>схемой</w:t>
        </w:r>
      </w:hyperlink>
      <w:r w:rsidRPr="008166E5">
        <w:rPr>
          <w:rFonts w:ascii="Times New Roman" w:hAnsi="Times New Roman" w:cs="Times New Roman"/>
        </w:rPr>
        <w:t xml:space="preserve"> границ земель, предполагаемых </w:t>
      </w:r>
      <w:r w:rsidRPr="007A3C49">
        <w:rPr>
          <w:rFonts w:ascii="Times New Roman" w:hAnsi="Times New Roman" w:cs="Times New Roman"/>
        </w:rPr>
        <w:t>к использованию под размещение объекта на кадастровом плане территории, согласно приложению.</w:t>
      </w:r>
    </w:p>
    <w:p w:rsidR="00D56A8C" w:rsidRPr="00D56A8C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3.</w:t>
      </w:r>
      <w:proofErr w:type="gramStart"/>
      <w:r w:rsidRPr="00D56A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Застройщику</w:t>
      </w:r>
      <w:r w:rsidRPr="00D56A8C">
        <w:rPr>
          <w:rFonts w:ascii="Times New Roman" w:hAnsi="Times New Roman" w:cs="Times New Roman"/>
        </w:rPr>
        <w:t xml:space="preserve">» получить санитарно-эпидемиологическое заключение на размещаемое на сооружении связи оборудование в Управлении </w:t>
      </w:r>
      <w:proofErr w:type="spellStart"/>
      <w:r w:rsidRPr="00D56A8C">
        <w:rPr>
          <w:rFonts w:ascii="Times New Roman" w:hAnsi="Times New Roman" w:cs="Times New Roman"/>
        </w:rPr>
        <w:t>Роспотребнадзора</w:t>
      </w:r>
      <w:proofErr w:type="spellEnd"/>
      <w:r w:rsidRPr="00D56A8C">
        <w:rPr>
          <w:rFonts w:ascii="Times New Roman" w:hAnsi="Times New Roman" w:cs="Times New Roman"/>
        </w:rPr>
        <w:t xml:space="preserve"> по Ленинградской области</w:t>
      </w:r>
      <w:r>
        <w:rPr>
          <w:rFonts w:ascii="Times New Roman" w:hAnsi="Times New Roman" w:cs="Times New Roman"/>
        </w:rPr>
        <w:t xml:space="preserve"> (в случае необходимости)</w:t>
      </w:r>
      <w:r w:rsidRPr="00D56A8C">
        <w:rPr>
          <w:rFonts w:ascii="Times New Roman" w:hAnsi="Times New Roman" w:cs="Times New Roman"/>
        </w:rPr>
        <w:t>.</w:t>
      </w:r>
    </w:p>
    <w:p w:rsidR="00D56A8C" w:rsidRPr="00D56A8C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4.</w:t>
      </w:r>
      <w:r w:rsidRPr="00D56A8C">
        <w:rPr>
          <w:rFonts w:ascii="Times New Roman" w:hAnsi="Times New Roman" w:cs="Times New Roman"/>
        </w:rPr>
        <w:tab/>
        <w:t>Производство земляных работ осуществлять на основании разрешения (ордера) на производство земляных работ</w:t>
      </w:r>
      <w:r>
        <w:rPr>
          <w:rFonts w:ascii="Times New Roman" w:hAnsi="Times New Roman" w:cs="Times New Roman"/>
        </w:rPr>
        <w:t xml:space="preserve"> (в случае необходимости производства таких работ)</w:t>
      </w:r>
      <w:r w:rsidRPr="00D56A8C">
        <w:rPr>
          <w:rFonts w:ascii="Times New Roman" w:hAnsi="Times New Roman" w:cs="Times New Roman"/>
        </w:rPr>
        <w:t>.</w:t>
      </w:r>
    </w:p>
    <w:p w:rsidR="00D56A8C" w:rsidRPr="00D56A8C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5.</w:t>
      </w:r>
      <w:r w:rsidRPr="00D56A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«Застройщику» </w:t>
      </w:r>
      <w:r w:rsidRPr="00D56A8C">
        <w:rPr>
          <w:rFonts w:ascii="Times New Roman" w:hAnsi="Times New Roman" w:cs="Times New Roman"/>
        </w:rPr>
        <w:t xml:space="preserve">разместить </w:t>
      </w:r>
      <w:r>
        <w:rPr>
          <w:rFonts w:ascii="Times New Roman" w:hAnsi="Times New Roman" w:cs="Times New Roman"/>
        </w:rPr>
        <w:t>с</w:t>
      </w:r>
      <w:r w:rsidRPr="00D56A8C">
        <w:rPr>
          <w:rFonts w:ascii="Times New Roman" w:hAnsi="Times New Roman" w:cs="Times New Roman"/>
        </w:rPr>
        <w:t>ведения об объекте капитального строительства в государственных информационных системах обеспечения градостроительной деятельности в порядке, предусмотренном Областным законом Ленинградской области от 18.05.2012 № 38-оз «Об установлении случаев, при которых не требуется получение разрешения на строительство на территории Ленинградской области».</w:t>
      </w:r>
    </w:p>
    <w:p w:rsidR="00D56A8C" w:rsidRPr="00D56A8C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lastRenderedPageBreak/>
        <w:t>6.</w:t>
      </w:r>
      <w:r w:rsidRPr="00D56A8C">
        <w:rPr>
          <w:rFonts w:ascii="Times New Roman" w:hAnsi="Times New Roman" w:cs="Times New Roman"/>
        </w:rPr>
        <w:tab/>
        <w:t>Направить копию настоящего постановления в Управление Федеральной службы государственной регистрации, кадастра и картографии по Ленинградской области.</w:t>
      </w:r>
    </w:p>
    <w:p w:rsidR="00D56A8C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7.</w:t>
      </w:r>
      <w:r w:rsidRPr="00D56A8C">
        <w:rPr>
          <w:rFonts w:ascii="Times New Roman" w:hAnsi="Times New Roman" w:cs="Times New Roman"/>
        </w:rPr>
        <w:tab/>
        <w:t>Контроль за исполнением настоящего постановления возложить на начальника отдела архитектуры, градостроительства и земельно-имущественных отношений.</w:t>
      </w:r>
    </w:p>
    <w:p w:rsidR="00D56A8C" w:rsidRPr="00D56A8C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A3C49">
        <w:rPr>
          <w:rFonts w:ascii="Times New Roman" w:hAnsi="Times New Roman" w:cs="Times New Roman"/>
        </w:rPr>
        <w:t>После издания настоящего постановления заключить</w:t>
      </w:r>
      <w:r>
        <w:rPr>
          <w:rFonts w:ascii="Times New Roman" w:hAnsi="Times New Roman" w:cs="Times New Roman"/>
        </w:rPr>
        <w:t xml:space="preserve"> с «Застройщиком»</w:t>
      </w:r>
      <w:r w:rsidRPr="007A3C49">
        <w:rPr>
          <w:rFonts w:ascii="Times New Roman" w:hAnsi="Times New Roman" w:cs="Times New Roman"/>
        </w:rPr>
        <w:t xml:space="preserve"> договор на размещение объекта.</w:t>
      </w:r>
    </w:p>
    <w:p w:rsidR="00B20957" w:rsidRPr="007A3C49" w:rsidRDefault="00D56A8C" w:rsidP="00D56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56A8C">
        <w:rPr>
          <w:rFonts w:ascii="Times New Roman" w:hAnsi="Times New Roman" w:cs="Times New Roman"/>
        </w:rPr>
        <w:t>.</w:t>
      </w:r>
      <w:r w:rsidRPr="00D56A8C">
        <w:rPr>
          <w:rFonts w:ascii="Times New Roman" w:hAnsi="Times New Roman" w:cs="Times New Roman"/>
        </w:rPr>
        <w:tab/>
        <w:t>Настоящее постановление вступает в силу с момента его подписания.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Приложение:</w:t>
      </w:r>
    </w:p>
    <w:p w:rsidR="00B20957" w:rsidRPr="007A3C49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82"/>
      <w:bookmarkEnd w:id="5"/>
      <w:r w:rsidRPr="007A3C49">
        <w:rPr>
          <w:rFonts w:ascii="Times New Roman" w:hAnsi="Times New Roman" w:cs="Times New Roman"/>
        </w:rPr>
        <w:t>1. Схема границ предполагаемых к использованию земель или части земельного участка на кадастровом плане территории.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Pr="007A3C49" w:rsidRDefault="00D56A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</w:p>
    <w:p w:rsidR="00D56A8C" w:rsidRP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D56A8C" w:rsidRPr="00D56A8C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к решению совета депутатов</w:t>
      </w:r>
    </w:p>
    <w:p w:rsidR="00B20957" w:rsidRPr="007A3C49" w:rsidRDefault="00D56A8C" w:rsidP="00D56A8C">
      <w:pPr>
        <w:pStyle w:val="ConsPlusNormal"/>
        <w:jc w:val="right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от ____________№ ___</w:t>
      </w:r>
    </w:p>
    <w:p w:rsidR="00B20957" w:rsidRPr="007A3C49" w:rsidRDefault="00B20957">
      <w:pPr>
        <w:pStyle w:val="ConsPlusNormal"/>
        <w:jc w:val="right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Title"/>
        <w:jc w:val="center"/>
        <w:rPr>
          <w:rFonts w:ascii="Times New Roman" w:hAnsi="Times New Roman" w:cs="Times New Roman"/>
        </w:rPr>
      </w:pPr>
      <w:bookmarkStart w:id="6" w:name="P195"/>
      <w:bookmarkEnd w:id="6"/>
      <w:r w:rsidRPr="007A3C49">
        <w:rPr>
          <w:rFonts w:ascii="Times New Roman" w:hAnsi="Times New Roman" w:cs="Times New Roman"/>
        </w:rPr>
        <w:t>ПОРЯДОК</w:t>
      </w:r>
    </w:p>
    <w:p w:rsidR="00B20957" w:rsidRPr="007A3C49" w:rsidRDefault="00B20957">
      <w:pPr>
        <w:pStyle w:val="ConsPlusTitle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ОПРЕДЕЛЕНИЯ РАЗМЕРА ПЛАТЫ ЗА РАЗМЕЩЕНИЕ ОБЪЕКТОВ</w:t>
      </w:r>
    </w:p>
    <w:p w:rsidR="00B20957" w:rsidRPr="007A3C49" w:rsidRDefault="00B20957">
      <w:pPr>
        <w:pStyle w:val="ConsPlusTitle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НА ЗЕМЕЛЬНЫХ УЧАСТКАХ, НАХОДЯЩИХСЯ НА ТЕРРИТОРИИ</w:t>
      </w:r>
    </w:p>
    <w:p w:rsidR="00B20957" w:rsidRPr="007A3C49" w:rsidRDefault="00D56A8C">
      <w:pPr>
        <w:pStyle w:val="ConsPlusTitle"/>
        <w:jc w:val="center"/>
        <w:rPr>
          <w:rFonts w:ascii="Times New Roman" w:hAnsi="Times New Roman" w:cs="Times New Roman"/>
        </w:rPr>
      </w:pPr>
      <w:r w:rsidRPr="00D56A8C">
        <w:rPr>
          <w:rFonts w:ascii="Times New Roman" w:hAnsi="Times New Roman" w:cs="Times New Roman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B20957" w:rsidRPr="007A3C49">
        <w:rPr>
          <w:rFonts w:ascii="Times New Roman" w:hAnsi="Times New Roman" w:cs="Times New Roman"/>
        </w:rPr>
        <w:t>, БЕЗ ПРЕДОСТАВЛЕНИЯ ЗЕМЕЛЬНЫХ УЧАСТКОВ</w:t>
      </w:r>
    </w:p>
    <w:p w:rsidR="00B20957" w:rsidRPr="007A3C49" w:rsidRDefault="00B20957" w:rsidP="00D56A8C">
      <w:pPr>
        <w:pStyle w:val="ConsPlusTitle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 xml:space="preserve">И УСТАНОВЛЕНИЯ СЕРВИТУТОВ 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Размер платы за размещение объекта определяется по формуле: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А = Б x S x К1,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где:</w:t>
      </w:r>
    </w:p>
    <w:p w:rsidR="00B20957" w:rsidRPr="007A3C49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А - расчетная сумма оплаты за использование, руб. в год;</w:t>
      </w:r>
    </w:p>
    <w:p w:rsidR="00B20957" w:rsidRPr="007A3C49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 xml:space="preserve">Б - базовая ставка, руб./кв. м 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B20957" w:rsidRPr="007A3C49">
        <w:tc>
          <w:tcPr>
            <w:tcW w:w="6860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2211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Ставка, руб./кв. м</w:t>
            </w:r>
          </w:p>
        </w:tc>
      </w:tr>
      <w:tr w:rsidR="00B20957" w:rsidRPr="007A3C49">
        <w:tc>
          <w:tcPr>
            <w:tcW w:w="6860" w:type="dxa"/>
          </w:tcPr>
          <w:p w:rsidR="00B20957" w:rsidRPr="007A3C49" w:rsidRDefault="00DD655E">
            <w:pPr>
              <w:pStyle w:val="ConsPlusNormal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Вся территория </w:t>
            </w:r>
            <w:r w:rsidR="00D56A8C">
              <w:rPr>
                <w:rFonts w:ascii="Times New Roman" w:hAnsi="Times New Roman" w:cs="Times New Roman"/>
              </w:rPr>
              <w:t>М</w:t>
            </w:r>
            <w:r w:rsidR="003817E3">
              <w:rPr>
                <w:rFonts w:ascii="Times New Roman" w:hAnsi="Times New Roman" w:cs="Times New Roman"/>
              </w:rPr>
              <w:t>О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211" w:type="dxa"/>
          </w:tcPr>
          <w:p w:rsidR="00B20957" w:rsidRPr="007A3C49" w:rsidRDefault="0038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27, 1692</w:t>
            </w:r>
          </w:p>
        </w:tc>
      </w:tr>
    </w:tbl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S - общая площадь размещения объекта, кв. м;</w:t>
      </w:r>
    </w:p>
    <w:p w:rsidR="00B20957" w:rsidRPr="007A3C49" w:rsidRDefault="00B20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t>К1 - коэффициент разрешенного использования размещения объекта:</w:t>
      </w: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Наименование вида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Коэффициент разрешенного использования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1. Элементы благоустройства территории в случаях, если такие элементы будут использоваться в целях оказания платных услуг</w:t>
            </w:r>
          </w:p>
        </w:tc>
        <w:tc>
          <w:tcPr>
            <w:tcW w:w="4139" w:type="dxa"/>
          </w:tcPr>
          <w:p w:rsidR="00B20957" w:rsidRPr="007A3C49" w:rsidRDefault="00B20957" w:rsidP="00381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2. Объекты, предназначенные для обеспечения пользования недрами,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3. Пруды-испарители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4.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</w:t>
            </w:r>
            <w:r w:rsidRPr="007A3C49">
              <w:rPr>
                <w:rFonts w:ascii="Times New Roman" w:hAnsi="Times New Roman" w:cs="Times New Roman"/>
              </w:rPr>
              <w:lastRenderedPageBreak/>
              <w:t>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строительство, в случаях, если эти объекты будут использоваться в целях оказания платных услуг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5. Лодочные станции,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6. Пункты приема вторичного сырья,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7. Передвижные цирки, передвижные зоопарки и передвижные луна-парки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8. Сезонные аттракционы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9.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7A3C49">
              <w:rPr>
                <w:rFonts w:ascii="Times New Roman" w:hAnsi="Times New Roman" w:cs="Times New Roman"/>
              </w:rPr>
              <w:t>велопарковки</w:t>
            </w:r>
            <w:proofErr w:type="spellEnd"/>
            <w:r w:rsidRPr="007A3C49">
              <w:rPr>
                <w:rFonts w:ascii="Times New Roman" w:hAnsi="Times New Roman" w:cs="Times New Roman"/>
              </w:rPr>
              <w:t>, пользование которыми будет осуществляться за плату</w:t>
            </w:r>
          </w:p>
        </w:tc>
        <w:tc>
          <w:tcPr>
            <w:tcW w:w="4139" w:type="dxa"/>
          </w:tcPr>
          <w:p w:rsidR="00B20957" w:rsidRPr="007A3C49" w:rsidRDefault="00B20957" w:rsidP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10. Платежные терминалы для оплаты услуг и штрафов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</w:t>
            </w:r>
            <w:r w:rsidR="008D28BE">
              <w:rPr>
                <w:rFonts w:ascii="Times New Roman" w:hAnsi="Times New Roman" w:cs="Times New Roman"/>
              </w:rPr>
              <w:t xml:space="preserve">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11. Общественные туалеты нестационарного типа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</w:t>
            </w:r>
            <w:r w:rsidR="008D28BE">
              <w:rPr>
                <w:rFonts w:ascii="Times New Roman" w:hAnsi="Times New Roman" w:cs="Times New Roman"/>
              </w:rPr>
              <w:t xml:space="preserve">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12. Геодезические, межевые, предупреждающие и иные знаки, включая информационные табло (стелы) и флагштоки</w:t>
            </w:r>
          </w:p>
        </w:tc>
        <w:tc>
          <w:tcPr>
            <w:tcW w:w="4139" w:type="dxa"/>
          </w:tcPr>
          <w:p w:rsidR="00B20957" w:rsidRPr="007A3C49" w:rsidRDefault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13. Площадки для дрессировки собак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14. Зарядные станции (терминалы) для электротранспорта</w:t>
            </w:r>
          </w:p>
        </w:tc>
        <w:tc>
          <w:tcPr>
            <w:tcW w:w="4139" w:type="dxa"/>
          </w:tcPr>
          <w:p w:rsidR="00B20957" w:rsidRPr="007A3C49" w:rsidRDefault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15. Спортивные и детские площадки, размещение которых осуществляется в целях оказания платных услуг</w:t>
            </w:r>
          </w:p>
        </w:tc>
        <w:tc>
          <w:tcPr>
            <w:tcW w:w="4139" w:type="dxa"/>
          </w:tcPr>
          <w:p w:rsidR="00B20957" w:rsidRPr="007A3C49" w:rsidRDefault="008D2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16. Отдельно стоящие ветроэнергетические установки и солнечные батареи,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17. 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8C2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18. Водопроводы и водоводы всех видов,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 w:rsidP="008C2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19. Линейные сооружения канализации (в том числе ливневой) и водоотведения, для размещения </w:t>
            </w:r>
            <w:r w:rsidRPr="007A3C49">
              <w:rPr>
                <w:rFonts w:ascii="Times New Roman" w:hAnsi="Times New Roman" w:cs="Times New Roman"/>
              </w:rPr>
              <w:lastRenderedPageBreak/>
              <w:t>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 w:rsidP="008C2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20. Линии электропередачи классом напряжения до 35 </w:t>
            </w:r>
            <w:proofErr w:type="spellStart"/>
            <w:r w:rsidRPr="007A3C49">
              <w:rPr>
                <w:rFonts w:ascii="Times New Roman" w:hAnsi="Times New Roman" w:cs="Times New Roman"/>
              </w:rPr>
              <w:t>кВ</w:t>
            </w:r>
            <w:proofErr w:type="spellEnd"/>
            <w:r w:rsidRPr="007A3C49">
              <w:rPr>
                <w:rFonts w:ascii="Times New Roman" w:hAnsi="Times New Roman" w:cs="Times New Roman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8C2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21. Нефтепроводы и нефтепродуктопроводы диаметром DN 300 и менее, газопроводы и иные</w:t>
            </w:r>
          </w:p>
        </w:tc>
        <w:tc>
          <w:tcPr>
            <w:tcW w:w="4139" w:type="dxa"/>
          </w:tcPr>
          <w:p w:rsidR="00B20957" w:rsidRPr="007A3C49" w:rsidRDefault="00B20957" w:rsidP="008C2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B209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22. Тепловые сети всех видов, включая сети горячего водоснабжения,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645AF" w:rsidRPr="007A3C49">
        <w:tc>
          <w:tcPr>
            <w:tcW w:w="4932" w:type="dxa"/>
          </w:tcPr>
          <w:p w:rsidR="00E645AF" w:rsidRPr="007A3C49" w:rsidRDefault="00E645AF" w:rsidP="00E64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  <w:tc>
          <w:tcPr>
            <w:tcW w:w="4139" w:type="dxa"/>
          </w:tcPr>
          <w:p w:rsidR="00E645AF" w:rsidRPr="007A3C49" w:rsidRDefault="00E64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20957" w:rsidRPr="007A3C49">
              <w:rPr>
                <w:rFonts w:ascii="Times New Roman" w:hAnsi="Times New Roman" w:cs="Times New Roman"/>
              </w:rPr>
              <w:t>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20957" w:rsidRPr="007A3C49">
              <w:rPr>
                <w:rFonts w:ascii="Times New Roman" w:hAnsi="Times New Roman" w:cs="Times New Roman"/>
              </w:rPr>
              <w:t>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20957" w:rsidRPr="007A3C49">
              <w:rPr>
                <w:rFonts w:ascii="Times New Roman" w:hAnsi="Times New Roman" w:cs="Times New Roman"/>
              </w:rPr>
              <w:t>. Пункты весового контроля автомобилей,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20957" w:rsidRPr="007A3C49">
              <w:rPr>
                <w:rFonts w:ascii="Times New Roman" w:hAnsi="Times New Roman" w:cs="Times New Roman"/>
              </w:rPr>
              <w:t>. Пункты охраны правопорядка и стационарные посты дорожно-патрульной службы,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0957" w:rsidRPr="007A3C49">
              <w:rPr>
                <w:rFonts w:ascii="Times New Roman" w:hAnsi="Times New Roman" w:cs="Times New Roman"/>
              </w:rPr>
              <w:t xml:space="preserve">. Проезды, в том числе </w:t>
            </w:r>
            <w:proofErr w:type="spellStart"/>
            <w:r w:rsidR="00B20957" w:rsidRPr="007A3C49">
              <w:rPr>
                <w:rFonts w:ascii="Times New Roman" w:hAnsi="Times New Roman" w:cs="Times New Roman"/>
              </w:rPr>
              <w:t>вдольтрассовые</w:t>
            </w:r>
            <w:proofErr w:type="spellEnd"/>
            <w:r w:rsidR="00B20957" w:rsidRPr="007A3C49">
              <w:rPr>
                <w:rFonts w:ascii="Times New Roman" w:hAnsi="Times New Roman" w:cs="Times New Roman"/>
              </w:rPr>
              <w:t>, и подъездные дороги,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20957" w:rsidRPr="007A3C49">
              <w:rPr>
                <w:rFonts w:ascii="Times New Roman" w:hAnsi="Times New Roman" w:cs="Times New Roman"/>
              </w:rPr>
              <w:t xml:space="preserve">. Защитные сооружения, для размещения </w:t>
            </w:r>
            <w:r w:rsidR="00B20957" w:rsidRPr="007A3C49">
              <w:rPr>
                <w:rFonts w:ascii="Times New Roman" w:hAnsi="Times New Roman" w:cs="Times New Roman"/>
              </w:rPr>
              <w:lastRenderedPageBreak/>
              <w:t>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lastRenderedPageBreak/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20957" w:rsidRPr="007A3C49">
              <w:rPr>
                <w:rFonts w:ascii="Times New Roman" w:hAnsi="Times New Roman" w:cs="Times New Roman"/>
              </w:rPr>
              <w:t>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B20957" w:rsidRPr="007A3C49">
        <w:tc>
          <w:tcPr>
            <w:tcW w:w="4932" w:type="dxa"/>
          </w:tcPr>
          <w:p w:rsidR="00B20957" w:rsidRPr="007A3C49" w:rsidRDefault="00E64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20957" w:rsidRPr="007A3C49">
              <w:rPr>
                <w:rFonts w:ascii="Times New Roman" w:hAnsi="Times New Roman" w:cs="Times New Roman"/>
              </w:rPr>
              <w:t>. 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</w:t>
            </w:r>
          </w:p>
        </w:tc>
        <w:tc>
          <w:tcPr>
            <w:tcW w:w="4139" w:type="dxa"/>
          </w:tcPr>
          <w:p w:rsidR="00B20957" w:rsidRPr="007A3C49" w:rsidRDefault="00B20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49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65C6D" w:rsidRPr="007A3C49" w:rsidRDefault="00E65C6D">
      <w:pPr>
        <w:rPr>
          <w:rFonts w:ascii="Times New Roman" w:hAnsi="Times New Roman" w:cs="Times New Roman"/>
        </w:rPr>
      </w:pPr>
    </w:p>
    <w:sectPr w:rsidR="00E65C6D" w:rsidRPr="007A3C49" w:rsidSect="00FF3BD3">
      <w:headerReference w:type="default" r:id="rId3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A0" w:rsidRDefault="009237A0" w:rsidP="00BC58CA">
      <w:pPr>
        <w:spacing w:after="0" w:line="240" w:lineRule="auto"/>
      </w:pPr>
      <w:r>
        <w:separator/>
      </w:r>
    </w:p>
  </w:endnote>
  <w:endnote w:type="continuationSeparator" w:id="0">
    <w:p w:rsidR="009237A0" w:rsidRDefault="009237A0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A0" w:rsidRDefault="009237A0" w:rsidP="00BC58CA">
      <w:pPr>
        <w:spacing w:after="0" w:line="240" w:lineRule="auto"/>
      </w:pPr>
      <w:r>
        <w:separator/>
      </w:r>
    </w:p>
  </w:footnote>
  <w:footnote w:type="continuationSeparator" w:id="0">
    <w:p w:rsidR="009237A0" w:rsidRDefault="009237A0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CA" w:rsidRDefault="00BC58CA" w:rsidP="00BC58CA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 w:rsidRPr="00BC58CA">
      <w:rPr>
        <w:rFonts w:ascii="Times New Roman" w:hAnsi="Times New Roman" w:cs="Times New Roman"/>
        <w:b/>
        <w:sz w:val="24"/>
        <w:szCs w:val="24"/>
      </w:rPr>
      <w:t>ПРОЕКТ</w:t>
    </w:r>
  </w:p>
  <w:p w:rsidR="00BC58CA" w:rsidRPr="00BC58CA" w:rsidRDefault="00BC58CA" w:rsidP="00BC58CA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Решения внесен администрацией 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7"/>
    <w:rsid w:val="001B79BA"/>
    <w:rsid w:val="00264F7C"/>
    <w:rsid w:val="0026642A"/>
    <w:rsid w:val="002F2DA1"/>
    <w:rsid w:val="003817E3"/>
    <w:rsid w:val="007A3C49"/>
    <w:rsid w:val="008166E5"/>
    <w:rsid w:val="008C2076"/>
    <w:rsid w:val="008D28BE"/>
    <w:rsid w:val="008D468D"/>
    <w:rsid w:val="009237A0"/>
    <w:rsid w:val="00960836"/>
    <w:rsid w:val="00B20957"/>
    <w:rsid w:val="00BA7F10"/>
    <w:rsid w:val="00BC58CA"/>
    <w:rsid w:val="00C25D3E"/>
    <w:rsid w:val="00D12B46"/>
    <w:rsid w:val="00D56A8C"/>
    <w:rsid w:val="00DD655E"/>
    <w:rsid w:val="00E645AF"/>
    <w:rsid w:val="00E65C6D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C2E9427-C00E-4BE7-8AB2-52291A84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0D05DED4CF826DDAC93979634E0CC5314CBC416CF95EBD553A41C0513F23EA710D9BC27C73C94B6836CB60F4D05262C822FE0030F3CwAXBM" TargetMode="External"/><Relationship Id="rId18" Type="http://schemas.openxmlformats.org/officeDocument/2006/relationships/hyperlink" Target="http://www.kuzmolovskoegp.ru" TargetMode="External"/><Relationship Id="rId26" Type="http://schemas.openxmlformats.org/officeDocument/2006/relationships/hyperlink" Target="consultantplus://offline/ref=50D05DED4CF826DDAC93979634E0CC5314CBC416CF95EBD553A41C0513F23EA710D9BC23C1369EE98679A75742043B328132FC010Dw3XF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D05DED4CF826DDAC93979634E0CC5314CBC416CF95EBD553A41C0513F23EA710D9BC27C73C94B6836CB60F4D05262C822FE0030F3CwAXBM" TargetMode="External"/><Relationship Id="rId34" Type="http://schemas.openxmlformats.org/officeDocument/2006/relationships/hyperlink" Target="consultantplus://offline/ref=50D05DED4CF826DDAC93979634E0CC5314CACF14C998EBD553A41C0513F23EA710D9BC27C73595BED436A60B045228308132FE02113CAA5Fw0X7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0D05DED4CF826DDAC93979634E0CC5314CBC416CF95EBD553A41C0513F23EA710D9BC27C73D96B6836CB60F4D05262C822FE0030F3CwAXBM" TargetMode="External"/><Relationship Id="rId17" Type="http://schemas.openxmlformats.org/officeDocument/2006/relationships/hyperlink" Target="consultantplus://offline/ref=50D05DED4CF826DDAC93888721E0CC5316CACF14CA94EBD553A41C0513F23EA702D9E42BC5368BBDD423F05A42w0X6M" TargetMode="External"/><Relationship Id="rId25" Type="http://schemas.openxmlformats.org/officeDocument/2006/relationships/hyperlink" Target="consultantplus://offline/ref=50D05DED4CF826DDAC93979634E0CC5314CBC416CF95EBD553A41C0513F23EA702D9E42BC5368BBDD423F05A42w0X6M" TargetMode="External"/><Relationship Id="rId33" Type="http://schemas.openxmlformats.org/officeDocument/2006/relationships/hyperlink" Target="consultantplus://offline/ref=50D05DED4CF826DDAC93979634E0CC5314CACF14C998EBD553A41C0513F23EA710D9BC27C73595BED736A60B045228308132FE02113CAA5Fw0X7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D05DED4CF826DDAC93888721E0CC5315CCC315C690EBD553A41C0513F23EA702D9E42BC5368BBDD423F05A42w0X6M" TargetMode="External"/><Relationship Id="rId20" Type="http://schemas.openxmlformats.org/officeDocument/2006/relationships/hyperlink" Target="consultantplus://offline/ref=50D05DED4CF826DDAC93979634E0CC5314CBC416CF95EBD553A41C0513F23EA710D9BC24C73497B6836CB60F4D05262C822FE0030F3CwAXBM" TargetMode="External"/><Relationship Id="rId29" Type="http://schemas.openxmlformats.org/officeDocument/2006/relationships/hyperlink" Target="consultantplus://offline/ref=50D05DED4CF826DDAC93979634E0CC5314CACF14C998EBD553A41C0513F23EA710D9BC27C73595BCDF36A60B045228308132FE02113CAA5Fw0X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D05DED4CF826DDAC93979634E0CC5314CBC416CF95EBD553A41C0513F23EA710D9BC24C73495B6836CB60F4D05262C822FE0030F3CwAXBM" TargetMode="External"/><Relationship Id="rId24" Type="http://schemas.openxmlformats.org/officeDocument/2006/relationships/hyperlink" Target="consultantplus://offline/ref=50D05DED4CF826DDAC93979634E0CC5314CBC416CF95EBD553A41C0513F23EA710D9BC23CE309EE98679A75742043B328132FC010Dw3XFM" TargetMode="External"/><Relationship Id="rId32" Type="http://schemas.openxmlformats.org/officeDocument/2006/relationships/hyperlink" Target="consultantplus://offline/ref=50D05DED4CF826DDAC93979634E0CC5314CACF14C998EBD553A41C0513F23EA710D9BC27C73595BFDE36A60B045228308132FE02113CAA5Fw0X7M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D05DED4CF826DDAC93979634E0CC5314CACF14C998EBD553A41C0513F23EA702D9E42BC5368BBDD423F05A42w0X6M" TargetMode="External"/><Relationship Id="rId23" Type="http://schemas.openxmlformats.org/officeDocument/2006/relationships/hyperlink" Target="consultantplus://offline/ref=50D05DED4CF826DDAC93979634E0CC5314CBC416CF95EBD553A41C0513F23EA710D9BC21C33C9EE98679A75742043B328132FC010Dw3XFM" TargetMode="External"/><Relationship Id="rId28" Type="http://schemas.openxmlformats.org/officeDocument/2006/relationships/hyperlink" Target="consultantplus://offline/ref=50D05DED4CF826DDAC93979634E0CC5314CACF14C998EBD553A41C0513F23EA710D9BC27CC61C4F98230F0595E07262C802CFCw0X0M" TargetMode="External"/><Relationship Id="rId36" Type="http://schemas.openxmlformats.org/officeDocument/2006/relationships/hyperlink" Target="consultantplus://offline/ref=50D05DED4CF826DDAC93979634E0CC5314CBC014C891EBD553A41C0513F23EA710D9BC27C73597BADE36A60B045228308132FE02113CAA5Fw0X7M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50D05DED4CF826DDAC93979634E0CC5314CACF14C998EBD553A41C0513F23EA702D9E42BC5368BBDD423F05A42w0X6M" TargetMode="External"/><Relationship Id="rId31" Type="http://schemas.openxmlformats.org/officeDocument/2006/relationships/hyperlink" Target="consultantplus://offline/ref=50D05DED4CF826DDAC93979634E0CC5314CACF14C998EBD553A41C0513F23EA710D9BC27C73595BFDF36A60B045228308132FE02113CAA5Fw0X7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0D05DED4CF826DDAC93979634E0CC5314CBC416CF95EBD553A41C0513F23EA710D9BC24C73497B6836CB60F4D05262C822FE0030F3CwAXBM" TargetMode="External"/><Relationship Id="rId22" Type="http://schemas.openxmlformats.org/officeDocument/2006/relationships/hyperlink" Target="consultantplus://offline/ref=50D05DED4CF826DDAC93979634E0CC5314CACF14C998EBD553A41C0513F23EA702D9E42BC5368BBDD423F05A42w0X6M" TargetMode="External"/><Relationship Id="rId27" Type="http://schemas.openxmlformats.org/officeDocument/2006/relationships/hyperlink" Target="consultantplus://offline/ref=50D05DED4CF826DDAC93979634E0CC5314CACF14C998EBD553A41C0513F23EA710D9BC27C73595BCD736A60B045228308132FE02113CAA5Fw0X7M" TargetMode="External"/><Relationship Id="rId30" Type="http://schemas.openxmlformats.org/officeDocument/2006/relationships/hyperlink" Target="consultantplus://offline/ref=50D05DED4CF826DDAC93979634E0CC5314CACF14C998EBD553A41C0513F23EA710D9BC27C73595BFD636A60B045228308132FE02113CAA5Fw0X7M" TargetMode="External"/><Relationship Id="rId35" Type="http://schemas.openxmlformats.org/officeDocument/2006/relationships/hyperlink" Target="consultantplus://offline/ref=50D05DED4CF826DDAC93979634E0CC5314CBC014C891EBD553A41C0513F23EA710D9BC27C73597B4DF36A60B045228308132FE02113CAA5Fw0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2021-03-23T12:23:00Z</dcterms:created>
  <dcterms:modified xsi:type="dcterms:W3CDTF">2021-03-25T12:21:00Z</dcterms:modified>
</cp:coreProperties>
</file>