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2017г.  № 30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C1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МО «Кузьмоловское городское поселение» Всеволожского муниципального  района Ленинградской области за 2016 год</w:t>
      </w:r>
    </w:p>
    <w:p w:rsidR="005E47C1" w:rsidRPr="005E47C1" w:rsidRDefault="005E47C1" w:rsidP="005E47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142"/>
        <w:gridCol w:w="1416"/>
        <w:gridCol w:w="1813"/>
      </w:tblGrid>
      <w:tr w:rsidR="005E47C1" w:rsidRPr="005E47C1" w:rsidTr="005E47C1"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на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Исполнение за 2016 год</w:t>
            </w: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7C1" w:rsidRPr="005E47C1" w:rsidTr="005E47C1">
        <w:trPr>
          <w:trHeight w:val="890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142" w:type="dxa"/>
          </w:tcPr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  <w:tr w:rsidR="005E47C1" w:rsidRPr="005E47C1" w:rsidTr="005E47C1">
        <w:trPr>
          <w:trHeight w:val="1016"/>
        </w:trPr>
        <w:tc>
          <w:tcPr>
            <w:tcW w:w="3120" w:type="dxa"/>
          </w:tcPr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000 01 05 02 01 05  0000 000</w:t>
            </w:r>
          </w:p>
        </w:tc>
        <w:tc>
          <w:tcPr>
            <w:tcW w:w="4142" w:type="dxa"/>
            <w:vAlign w:val="bottom"/>
          </w:tcPr>
          <w:p w:rsidR="005E47C1" w:rsidRPr="005E47C1" w:rsidRDefault="005E47C1" w:rsidP="005E47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6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C1" w:rsidRPr="005E47C1" w:rsidRDefault="005E47C1" w:rsidP="005E47C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-6585,9</w:t>
            </w:r>
          </w:p>
        </w:tc>
      </w:tr>
      <w:tr w:rsidR="00456AE4" w:rsidRPr="005E47C1" w:rsidTr="005E47C1">
        <w:trPr>
          <w:trHeight w:val="701"/>
        </w:trPr>
        <w:tc>
          <w:tcPr>
            <w:tcW w:w="3120" w:type="dxa"/>
          </w:tcPr>
          <w:p w:rsidR="00456AE4" w:rsidRPr="005E47C1" w:rsidRDefault="00456AE4" w:rsidP="0045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456AE4" w:rsidRPr="005E47C1" w:rsidRDefault="00456AE4" w:rsidP="00456A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6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-8450,0</w:t>
            </w:r>
          </w:p>
        </w:tc>
        <w:tc>
          <w:tcPr>
            <w:tcW w:w="1813" w:type="dxa"/>
          </w:tcPr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E4" w:rsidRPr="005E47C1" w:rsidRDefault="00456AE4" w:rsidP="00456AE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sz w:val="24"/>
                <w:szCs w:val="24"/>
              </w:rPr>
              <w:t>-6585,9</w:t>
            </w:r>
          </w:p>
        </w:tc>
      </w:tr>
    </w:tbl>
    <w:p w:rsidR="005E47C1" w:rsidRPr="006714C2" w:rsidRDefault="005E47C1" w:rsidP="005E47C1">
      <w:pPr>
        <w:jc w:val="center"/>
        <w:rPr>
          <w:sz w:val="28"/>
          <w:szCs w:val="28"/>
        </w:rPr>
      </w:pPr>
    </w:p>
    <w:p w:rsidR="005E47C1" w:rsidRPr="005E47C1" w:rsidRDefault="005E47C1">
      <w:pPr>
        <w:rPr>
          <w:lang w:val="en-US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7832" w:rsidRDefault="00497832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6AE4" w:rsidRDefault="00456AE4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P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</w:t>
      </w:r>
      <w:r w:rsidR="005E4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 30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7C1" w:rsidRDefault="005E47C1" w:rsidP="00C020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ДОХОДЫ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бюджета МО "Кузьмоловское городское поселение" Всеволожский район  Ленинградской области на 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873"/>
        <w:gridCol w:w="3756"/>
        <w:gridCol w:w="1526"/>
        <w:gridCol w:w="1559"/>
      </w:tblGrid>
      <w:tr w:rsidR="005E47C1" w:rsidRPr="005E47C1" w:rsidTr="005E47C1">
        <w:trPr>
          <w:trHeight w:val="13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2016г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5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182 10102000010000100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-налоги на доходы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41 871,6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46 603,40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182 10300000000000000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4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182 10302000000000100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200,80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182 10600000000000000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47 931,70</w:t>
            </w:r>
          </w:p>
        </w:tc>
      </w:tr>
      <w:tr w:rsidR="005E47C1" w:rsidRPr="005E47C1" w:rsidTr="005E47C1">
        <w:trPr>
          <w:trHeight w:val="4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182 10601000000000100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2 797,8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2 991,30</w:t>
            </w:r>
          </w:p>
        </w:tc>
      </w:tr>
      <w:tr w:rsidR="005E47C1" w:rsidRPr="005E47C1" w:rsidTr="005E47C1">
        <w:trPr>
          <w:trHeight w:val="72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182 10606000000000100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44 577,6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44 940,40</w:t>
            </w:r>
          </w:p>
        </w:tc>
      </w:tr>
      <w:tr w:rsidR="005E47C1" w:rsidRPr="005E47C1" w:rsidTr="005E47C1">
        <w:trPr>
          <w:trHeight w:val="117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001 11100000000000000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11 918,6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12 834,70</w:t>
            </w:r>
          </w:p>
        </w:tc>
      </w:tr>
      <w:tr w:rsidR="005E47C1" w:rsidRPr="005E47C1" w:rsidTr="005E47C1">
        <w:trPr>
          <w:trHeight w:val="238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001 11105013130000100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6 526,7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6 584,80</w:t>
            </w:r>
          </w:p>
        </w:tc>
      </w:tr>
      <w:tr w:rsidR="005E47C1" w:rsidRPr="005E47C1" w:rsidTr="005E47C1">
        <w:trPr>
          <w:trHeight w:val="1692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001 11105075130000100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участков)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6 249,90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001 11300000000000100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001 11301995100000100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1 811,10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001 11400000000000000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11 601,4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11 757,80</w:t>
            </w:r>
          </w:p>
        </w:tc>
      </w:tr>
      <w:tr w:rsidR="005E47C1" w:rsidRPr="005E47C1" w:rsidTr="005E47C1">
        <w:trPr>
          <w:trHeight w:val="262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001 11402053100000400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9 865,80</w:t>
            </w:r>
          </w:p>
        </w:tc>
      </w:tr>
      <w:tr w:rsidR="005E47C1" w:rsidRPr="005E47C1" w:rsidTr="005E47C1">
        <w:trPr>
          <w:trHeight w:val="174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001 11406013130000400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1 735,60</w:t>
            </w:r>
          </w:p>
        </w:tc>
      </w:tr>
      <w:tr w:rsidR="005E47C1" w:rsidRPr="005E47C1" w:rsidTr="005E47C1">
        <w:trPr>
          <w:trHeight w:val="24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001 11406313130000430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156,40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001 11000000000000000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451,10</w:t>
            </w:r>
          </w:p>
        </w:tc>
      </w:tr>
      <w:tr w:rsidR="005E47C1" w:rsidRPr="005E47C1" w:rsidTr="005E47C1">
        <w:trPr>
          <w:trHeight w:val="22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001 11633050130000 140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443,10</w:t>
            </w:r>
          </w:p>
        </w:tc>
      </w:tr>
      <w:tr w:rsidR="005E47C1" w:rsidRPr="005E47C1" w:rsidTr="005E47C1">
        <w:trPr>
          <w:trHeight w:val="75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001 11701050130000 180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</w:t>
            </w:r>
          </w:p>
        </w:tc>
      </w:tr>
      <w:tr w:rsidR="005E47C1" w:rsidRPr="005E47C1" w:rsidTr="005E47C1">
        <w:trPr>
          <w:trHeight w:val="214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001 20202999130000 100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17 114,4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001 20705030130000100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613,7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7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5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145 433,6</w:t>
            </w:r>
          </w:p>
        </w:tc>
        <w:tc>
          <w:tcPr>
            <w:tcW w:w="155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150 382,10</w:t>
            </w:r>
          </w:p>
        </w:tc>
      </w:tr>
    </w:tbl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</w:t>
      </w:r>
      <w:r w:rsidR="005E4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 30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от бюджетов других уровней в  бюджет МО "Кузьмоловское городское поселение" за 2016 год</w:t>
      </w:r>
    </w:p>
    <w:p w:rsid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2836"/>
        <w:gridCol w:w="3711"/>
        <w:gridCol w:w="1676"/>
        <w:gridCol w:w="1667"/>
      </w:tblGrid>
      <w:tr w:rsidR="005E47C1" w:rsidRPr="005E47C1" w:rsidTr="005E47C1">
        <w:trPr>
          <w:trHeight w:val="13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Источники доходов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План  на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  <w:tr w:rsidR="005E47C1" w:rsidRPr="005E47C1" w:rsidTr="005E47C1">
        <w:trPr>
          <w:trHeight w:val="214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001 20202089130000151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9 401,90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9 401,90</w:t>
            </w:r>
          </w:p>
        </w:tc>
      </w:tr>
      <w:tr w:rsidR="005E47C1" w:rsidRPr="005E47C1" w:rsidTr="005E47C1">
        <w:trPr>
          <w:trHeight w:val="13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001 20203015130000100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5E47C1" w:rsidRPr="005E47C1" w:rsidTr="005E47C1">
        <w:trPr>
          <w:trHeight w:val="12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001 20203024130000000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E47C1" w:rsidRPr="005E47C1" w:rsidTr="005E47C1">
        <w:trPr>
          <w:trHeight w:val="163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001 20204012130000100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2 130,00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2 130,00</w:t>
            </w:r>
          </w:p>
        </w:tc>
      </w:tr>
      <w:tr w:rsidR="005E47C1" w:rsidRPr="005E47C1" w:rsidTr="005E47C1">
        <w:trPr>
          <w:trHeight w:val="276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001 20202216130000 100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393,40</w:t>
            </w:r>
          </w:p>
        </w:tc>
      </w:tr>
      <w:tr w:rsidR="005E47C1" w:rsidRPr="005E47C1" w:rsidTr="005E47C1">
        <w:trPr>
          <w:trHeight w:val="108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001 20202999130000 100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17 114,40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16 663,10</w:t>
            </w:r>
          </w:p>
        </w:tc>
      </w:tr>
      <w:tr w:rsidR="005E47C1" w:rsidRPr="005E47C1" w:rsidTr="005E47C1">
        <w:trPr>
          <w:trHeight w:val="91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001 20705030130000100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613,70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663,80</w:t>
            </w:r>
          </w:p>
        </w:tc>
      </w:tr>
      <w:tr w:rsidR="005E47C1" w:rsidRPr="005E47C1" w:rsidTr="005E47C1">
        <w:trPr>
          <w:trHeight w:val="1410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-838,10</w:t>
            </w:r>
          </w:p>
        </w:tc>
      </w:tr>
      <w:tr w:rsidR="005E47C1" w:rsidRPr="005E47C1" w:rsidTr="005E47C1">
        <w:trPr>
          <w:trHeight w:val="375"/>
        </w:trPr>
        <w:tc>
          <w:tcPr>
            <w:tcW w:w="283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1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30 030,80</w:t>
            </w:r>
          </w:p>
        </w:tc>
        <w:tc>
          <w:tcPr>
            <w:tcW w:w="1667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28 791,50</w:t>
            </w:r>
          </w:p>
        </w:tc>
      </w:tr>
    </w:tbl>
    <w:p w:rsidR="005E47C1" w:rsidRPr="005E47C1" w:rsidRDefault="005E47C1" w:rsidP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E47C1" w:rsidRPr="005E47C1" w:rsidRDefault="005E47C1" w:rsidP="005E47C1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5E47C1" w:rsidRPr="005E47C1" w:rsidRDefault="005E47C1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5E47C1" w:rsidRDefault="00D06BA6" w:rsidP="005E4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 2017 г.  №  30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2016 год</w:t>
      </w: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4253"/>
        <w:gridCol w:w="1701"/>
        <w:gridCol w:w="709"/>
        <w:gridCol w:w="709"/>
        <w:gridCol w:w="1276"/>
        <w:gridCol w:w="1242"/>
      </w:tblGrid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2016 г. </w:t>
            </w: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74 650,9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73 941,3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5E47C1">
        <w:trPr>
          <w:trHeight w:val="67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5E47C1" w:rsidRPr="005E47C1" w:rsidTr="00A17977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и  искусственных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E47C1" w:rsidRPr="005E47C1" w:rsidTr="005E47C1">
        <w:trPr>
          <w:trHeight w:val="66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87 1 01 74390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производству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S2030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1 01 S4390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28 775,7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28 284,6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87 2 01 00220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источников электроснабжения (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дизель-геннераторов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87 2 01 74270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S0180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2 01 S4270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1 008,9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1 006,9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благоустройству городских поселений за счет средств МБ"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03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3 01 S0880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26 294,5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26 078,0</w:t>
            </w:r>
          </w:p>
        </w:tc>
      </w:tr>
      <w:tr w:rsidR="005E47C1" w:rsidRPr="005E47C1" w:rsidTr="005E47C1">
        <w:trPr>
          <w:trHeight w:val="48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2 045,7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5E47C1" w:rsidRPr="005E47C1" w:rsidTr="005E47C1">
        <w:trPr>
          <w:trHeight w:val="87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A17977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аварийного жилищного фонда из средств МБ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на приобретение объектов недвижимого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5 03 S0770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03 S4520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E47C1" w:rsidRPr="005E47C1" w:rsidTr="005E47C1">
        <w:trPr>
          <w:trHeight w:val="12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Управление имущественными и земельными отношениями на территории МО "Кузьмоловское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поселение" на 2016 год"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3 550,2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48 018,3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47 782,6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5E47C1" w:rsidRPr="005E47C1" w:rsidTr="005E47C1">
        <w:trPr>
          <w:trHeight w:val="562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5191,40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E47C1" w:rsidRPr="005E47C1" w:rsidTr="005E47C1">
        <w:trPr>
          <w:trHeight w:val="703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5E47C1" w:rsidRPr="005E47C1" w:rsidTr="005E47C1">
        <w:trPr>
          <w:trHeight w:val="129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47C1" w:rsidRPr="005E47C1" w:rsidTr="005E47C1">
        <w:trPr>
          <w:trHeight w:val="52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01 S4370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E47C1" w:rsidRPr="005E47C1" w:rsidTr="005E47C1">
        <w:trPr>
          <w:trHeight w:val="63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00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5E47C1" w:rsidRPr="005E47C1" w:rsidTr="005E47C1">
        <w:trPr>
          <w:trHeight w:val="88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33 056,3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30 988,9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13 929,7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12 735,2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E47C1" w:rsidRPr="005E47C1" w:rsidTr="005E47C1">
        <w:trPr>
          <w:trHeight w:val="15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10 685,7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10 668,3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5E47C1" w:rsidRPr="005E47C1" w:rsidTr="005E47C1">
        <w:trPr>
          <w:trHeight w:val="420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твенных (муниципальных) 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3 384,4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E4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6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5E47C1" w:rsidRPr="005E47C1" w:rsidTr="005E47C1">
        <w:trPr>
          <w:trHeight w:val="9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5E47C1" w:rsidRPr="005E47C1" w:rsidTr="005E47C1">
        <w:trPr>
          <w:trHeight w:val="315"/>
        </w:trPr>
        <w:tc>
          <w:tcPr>
            <w:tcW w:w="4253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5E47C1" w:rsidRPr="005E47C1" w:rsidRDefault="005E47C1" w:rsidP="005E4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156 770,9</w:t>
            </w:r>
          </w:p>
        </w:tc>
      </w:tr>
    </w:tbl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7C1" w:rsidRDefault="005E4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D06BA6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г.  №  30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A1797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17977">
        <w:rPr>
          <w:rFonts w:ascii="Times New Roman" w:hAnsi="Times New Roman" w:cs="Times New Roman"/>
          <w:sz w:val="28"/>
          <w:szCs w:val="28"/>
        </w:rPr>
        <w:t>группам и подгруппам) видов расходов бюджета муниципального образования "Кузьмоловское городское поселение" на 2016 год</w:t>
      </w:r>
    </w:p>
    <w:tbl>
      <w:tblPr>
        <w:tblStyle w:val="a9"/>
        <w:tblW w:w="0" w:type="auto"/>
        <w:tblLayout w:type="fixed"/>
        <w:tblLook w:val="04A0"/>
      </w:tblPr>
      <w:tblGrid>
        <w:gridCol w:w="3791"/>
        <w:gridCol w:w="573"/>
        <w:gridCol w:w="595"/>
        <w:gridCol w:w="1558"/>
        <w:gridCol w:w="701"/>
        <w:gridCol w:w="1254"/>
        <w:gridCol w:w="1242"/>
      </w:tblGrid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4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2016 г. 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36 225,1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34 157,7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3 929,9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2 383,8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47C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1178,4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23 524,7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в части иных выплат персоналу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.)органов,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7511,4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1673,7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2767,6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19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6 703,1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1886,4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1207,8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2016 году"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1029,1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19 866,5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5121,3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дорожного фонда Ленингра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6293,4</w:t>
            </w:r>
          </w:p>
        </w:tc>
      </w:tr>
      <w:tr w:rsidR="00A17977" w:rsidRPr="00A17977" w:rsidTr="00A17977">
        <w:trPr>
          <w:trHeight w:val="9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17977" w:rsidRPr="00A17977" w:rsidTr="00A17977">
        <w:trPr>
          <w:trHeight w:val="120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2283,1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производству 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подготовку и проведение мероприятий, посвященных дню образования ЛО на ремонт асфальто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1257,9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58 521,6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жилового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1665,9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A17977" w:rsidRPr="00A17977" w:rsidTr="00A17977">
        <w:trPr>
          <w:trHeight w:val="9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7537,8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переселению граждан из аварийного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8861,3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общей расселяемой площади аварийных многоквартирных жилых домов по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 региона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A17977" w:rsidRPr="00A17977" w:rsidTr="00A17977">
        <w:trPr>
          <w:trHeight w:val="8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аварийного жилищного фонда из средств МБ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оплату превышения стоимости одного квадратного метра общей расселяемой площади аварийных многоквартирных 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хозяйства. Обеспечение мероприятий по капитальному ремонту многоквартирных домов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87503S9601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31 673,8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3152,1</w:t>
            </w:r>
          </w:p>
        </w:tc>
      </w:tr>
      <w:tr w:rsidR="00A17977" w:rsidRPr="00A17977" w:rsidTr="00A17977">
        <w:trPr>
          <w:trHeight w:val="16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17961,9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1617,8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приобретение автономных источников электроснабжения (</w:t>
            </w:r>
            <w:proofErr w:type="spellStart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дизель-геннераторов</w:t>
            </w:r>
            <w:proofErr w:type="spellEnd"/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</w:tr>
      <w:tr w:rsidR="00A17977" w:rsidRPr="00A17977" w:rsidTr="00A17977">
        <w:trPr>
          <w:trHeight w:val="16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приобретения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202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7 464,2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A17977" w:rsidRPr="00A17977" w:rsidTr="00A17977">
        <w:trPr>
          <w:trHeight w:val="121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благоустройству городских поселений за счет средств МБ"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4415,2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2042,1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40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17977" w:rsidRPr="00A17977" w:rsidTr="00A17977">
        <w:trPr>
          <w:trHeight w:val="7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казенных учрежден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ий культуры 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3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21 281,6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21 073,6</w:t>
            </w:r>
          </w:p>
        </w:tc>
      </w:tr>
      <w:tr w:rsidR="00A17977" w:rsidRPr="00A17977" w:rsidTr="00A17977">
        <w:trPr>
          <w:trHeight w:val="561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11930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977" w:rsidRPr="00A17977" w:rsidTr="00A17977">
        <w:trPr>
          <w:trHeight w:val="12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3697,6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5191,4</w:t>
            </w:r>
          </w:p>
        </w:tc>
      </w:tr>
      <w:tr w:rsidR="00A17977" w:rsidRPr="00A17977" w:rsidTr="00A17977">
        <w:trPr>
          <w:trHeight w:val="477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977" w:rsidRPr="00A17977" w:rsidTr="00A17977">
        <w:trPr>
          <w:trHeight w:val="22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A17977" w:rsidRPr="00A17977" w:rsidTr="00A17977">
        <w:trPr>
          <w:trHeight w:val="7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7972,3</w:t>
            </w:r>
          </w:p>
        </w:tc>
      </w:tr>
      <w:tr w:rsidR="00A17977" w:rsidRPr="00A17977" w:rsidTr="00A17977">
        <w:trPr>
          <w:trHeight w:val="81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A17977" w:rsidRPr="00A17977" w:rsidTr="00A17977">
        <w:trPr>
          <w:trHeight w:val="714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A17977" w:rsidRPr="00A17977" w:rsidTr="00A17977">
        <w:trPr>
          <w:trHeight w:val="123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17977" w:rsidRPr="00A17977" w:rsidTr="00A17977">
        <w:trPr>
          <w:trHeight w:val="4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капитального ремонта объектов культуры МО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8318</w:t>
            </w:r>
          </w:p>
        </w:tc>
      </w:tr>
      <w:tr w:rsidR="00A17977" w:rsidRPr="00A17977" w:rsidTr="00A17977">
        <w:trPr>
          <w:trHeight w:val="19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мероприятия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7977" w:rsidRPr="00A17977" w:rsidTr="00A17977">
        <w:trPr>
          <w:trHeight w:val="78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1 847,3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76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12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A17977" w:rsidRPr="00A17977" w:rsidTr="00A17977">
        <w:trPr>
          <w:trHeight w:val="88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1737,3</w:t>
            </w:r>
          </w:p>
        </w:tc>
      </w:tr>
      <w:tr w:rsidR="00A17977" w:rsidRPr="00A17977" w:rsidTr="00A17977">
        <w:trPr>
          <w:trHeight w:val="97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87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2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17977" w:rsidRPr="00A17977" w:rsidTr="00A17977">
        <w:trPr>
          <w:trHeight w:val="109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499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5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840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A17977" w:rsidRPr="00A17977" w:rsidTr="00A17977">
        <w:trPr>
          <w:trHeight w:val="103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A17977" w:rsidRPr="00A17977" w:rsidTr="00A17977">
        <w:trPr>
          <w:trHeight w:val="345"/>
        </w:trPr>
        <w:tc>
          <w:tcPr>
            <w:tcW w:w="3791" w:type="dxa"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A17977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77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Default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A17977" w:rsidRPr="005E47C1" w:rsidRDefault="00A17977" w:rsidP="00A17977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</w:t>
      </w:r>
      <w:r w:rsidRPr="005E47C1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7977" w:rsidRPr="005E47C1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7C1">
        <w:rPr>
          <w:rFonts w:ascii="Times New Roman" w:hAnsi="Times New Roman" w:cs="Times New Roman"/>
          <w:sz w:val="28"/>
          <w:szCs w:val="28"/>
        </w:rPr>
        <w:t>МО «Кузьмоловское городское поселение»</w:t>
      </w:r>
    </w:p>
    <w:p w:rsidR="00A17977" w:rsidRDefault="00D06BA6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г.  №  30</w:t>
      </w:r>
    </w:p>
    <w:p w:rsidR="00A17977" w:rsidRDefault="00A17977" w:rsidP="00A179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ВЕДОМСТВЕННАЯ   СТРУКТУРА  РАСХОДОВ</w:t>
      </w:r>
    </w:p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977">
        <w:rPr>
          <w:rFonts w:ascii="Times New Roman" w:hAnsi="Times New Roman" w:cs="Times New Roman"/>
          <w:sz w:val="28"/>
          <w:szCs w:val="28"/>
        </w:rPr>
        <w:t>бюджета муниципального образования  Кузьмоловское городское  поселение Всеволожского муниципального района Ленинградской области на 2016 год</w:t>
      </w:r>
    </w:p>
    <w:tbl>
      <w:tblPr>
        <w:tblStyle w:val="a9"/>
        <w:tblW w:w="0" w:type="auto"/>
        <w:tblInd w:w="-318" w:type="dxa"/>
        <w:tblLook w:val="04A0"/>
      </w:tblPr>
      <w:tblGrid>
        <w:gridCol w:w="3381"/>
        <w:gridCol w:w="619"/>
        <w:gridCol w:w="676"/>
        <w:gridCol w:w="569"/>
        <w:gridCol w:w="1560"/>
        <w:gridCol w:w="709"/>
        <w:gridCol w:w="1276"/>
        <w:gridCol w:w="1242"/>
      </w:tblGrid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  <w:tc>
          <w:tcPr>
            <w:tcW w:w="1242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3 929,9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3 384,4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1 178,4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1 838,3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1 521,3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85F22" w:rsidRPr="00985F22" w:rsidTr="00985F22">
        <w:trPr>
          <w:trHeight w:val="703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Кузьмоловское городское поселение Всеволожского </w:t>
            </w: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619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155 853,7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152 841,0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32 295,2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30 227,8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23 524,7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в части иных выплат персоналу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.)органов,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7 511,4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самоуправления-глава 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2 085,6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1 673,7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411,9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самоуправления-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13 927,7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12 735,2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9 967,6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2 767,6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558,9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6 720,5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6 703,1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3 174,3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1 920,1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1 907,6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1 898,9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1 886,4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1 254,2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1 212,7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1 207,8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1 288,7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1 029,1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507,9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19 866,5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мероприятие-ремонт, проектирование, 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18 571,8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5 121,3</w:t>
            </w:r>
          </w:p>
        </w:tc>
      </w:tr>
      <w:tr w:rsidR="00985F22" w:rsidRPr="00985F22" w:rsidTr="00985F22">
        <w:trPr>
          <w:trHeight w:val="8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85F22" w:rsidRPr="00985F22" w:rsidTr="00985F22">
        <w:trPr>
          <w:trHeight w:val="12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6 293,4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2 283,1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производству </w:t>
            </w: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1 664,0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подготовку и проведение мероприятий, посвященных дню образования ЛО на ремонт асфальто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го покрытия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87101S2030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1 257,9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2016 году"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1 294,7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995,9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59 231,2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58 521,6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noWrap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19 600,1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19 383,6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2 403,4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1 665,9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превышение приобретенной площади над расселяемой и превышение стоимости одного квадратного метра жилой площади над предусмотренной региональной адресной программой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8750300070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7 537,8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переселению граждан из аварийного жилищного фонда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8 861,3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оплату превышения стоимости одного квадратного метра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 "Переселение граждан из аварийного жилищного фонда на территории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324,1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аварийного жилищного фонда из средств МБ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87503S0770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оплату превышения стоимости одного квадратного метра общей расселяемой площади аварийных многоквартирных жилы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х домов по этапу 2016 года регио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нальной адресной программы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"Переселение граждан из аварийного жилищного фонда на территории ЛО в 2013-2017 годах"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87503S4520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32 164,9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31 673,8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3 152,1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29 012,8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28 521,7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28 288,2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28 775,7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28 284,6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18 029,5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17 961,9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1 617,8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5 020,0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автономных источни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ков электроснабжения (дизель-ге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нераторов)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для резервного энергоснабжения объектов жизнеобеспечения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1 170,0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87201S0180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2 899,1</w:t>
            </w:r>
          </w:p>
        </w:tc>
      </w:tr>
      <w:tr w:rsidR="00985F22" w:rsidRPr="00985F22" w:rsidTr="00985F22">
        <w:trPr>
          <w:trHeight w:val="16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приобретения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автономных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87201S4270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9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85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7 466,2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7 464,2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1 006,9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412,7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благоустройству городских поселений"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8730170880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985F22" w:rsidRPr="00985F22" w:rsidTr="00985F22">
        <w:trPr>
          <w:trHeight w:val="42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общественной инфраструктуры муниципального значения городских и сельских поселений Всеволожского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2016 год"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8720172020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благоустройству городских поселений за счет средств МБ"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87301S0880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6 457,3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4 415,2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2 042,1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349,7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39 953,4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39 717,7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21 473,6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21 265,6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11 930,0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3 697,6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5 382,3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5 191,4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85F22" w:rsidRPr="00985F22" w:rsidTr="00985F22">
        <w:trPr>
          <w:trHeight w:val="243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7 972,3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985F22" w:rsidRPr="00985F22" w:rsidTr="00985F22">
        <w:trPr>
          <w:trHeight w:val="202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мероприятия по организа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библиотечного обслуживания населения, созданию условий для организации досуга, развития местного традиционного народного художественн</w:t>
            </w:r>
            <w:r w:rsidR="00C01BBF">
              <w:rPr>
                <w:rFonts w:ascii="Times New Roman" w:hAnsi="Times New Roman" w:cs="Times New Roman"/>
                <w:sz w:val="24"/>
                <w:szCs w:val="24"/>
              </w:rPr>
              <w:t>ого творчества, охранения, возро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ждения и развития народных промыслов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1 737,3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  публичных нормативных социальных выплат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2016 год»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985F22">
        <w:trPr>
          <w:trHeight w:val="810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1 427,1</w:t>
            </w:r>
          </w:p>
        </w:tc>
      </w:tr>
      <w:tr w:rsidR="00985F22" w:rsidRPr="00985F22" w:rsidTr="00C01BBF">
        <w:trPr>
          <w:trHeight w:val="561"/>
        </w:trPr>
        <w:tc>
          <w:tcPr>
            <w:tcW w:w="3381" w:type="dxa"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</w:tr>
      <w:tr w:rsidR="00985F22" w:rsidRPr="00985F22" w:rsidTr="00985F22">
        <w:trPr>
          <w:trHeight w:val="121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</w:tr>
      <w:tr w:rsidR="00985F22" w:rsidRPr="00985F22" w:rsidTr="00985F22">
        <w:trPr>
          <w:trHeight w:val="405"/>
        </w:trPr>
        <w:tc>
          <w:tcPr>
            <w:tcW w:w="3381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159 783,6</w:t>
            </w:r>
          </w:p>
        </w:tc>
        <w:tc>
          <w:tcPr>
            <w:tcW w:w="1242" w:type="dxa"/>
            <w:noWrap/>
            <w:hideMark/>
          </w:tcPr>
          <w:p w:rsidR="00A17977" w:rsidRPr="00985F22" w:rsidRDefault="00A17977" w:rsidP="00A1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2">
              <w:rPr>
                <w:rFonts w:ascii="Times New Roman" w:hAnsi="Times New Roman" w:cs="Times New Roman"/>
                <w:sz w:val="24"/>
                <w:szCs w:val="24"/>
              </w:rPr>
              <w:t>156 770,9</w:t>
            </w:r>
          </w:p>
        </w:tc>
      </w:tr>
    </w:tbl>
    <w:p w:rsidR="00A17977" w:rsidRDefault="00A17977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22" w:rsidRPr="00A17977" w:rsidRDefault="00985F22" w:rsidP="00A1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5F22" w:rsidRPr="00A17977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023E1E"/>
    <w:rsid w:val="00053FB6"/>
    <w:rsid w:val="000825A1"/>
    <w:rsid w:val="000B382C"/>
    <w:rsid w:val="00106E52"/>
    <w:rsid w:val="00117759"/>
    <w:rsid w:val="00193A52"/>
    <w:rsid w:val="001B70D7"/>
    <w:rsid w:val="001C746B"/>
    <w:rsid w:val="001E1A97"/>
    <w:rsid w:val="00232C8F"/>
    <w:rsid w:val="00243274"/>
    <w:rsid w:val="002B6C7F"/>
    <w:rsid w:val="00307B8B"/>
    <w:rsid w:val="003418BF"/>
    <w:rsid w:val="0034677D"/>
    <w:rsid w:val="0035351D"/>
    <w:rsid w:val="003B5215"/>
    <w:rsid w:val="003C5C71"/>
    <w:rsid w:val="003E638A"/>
    <w:rsid w:val="00400FA9"/>
    <w:rsid w:val="00426066"/>
    <w:rsid w:val="00433F87"/>
    <w:rsid w:val="00456AE4"/>
    <w:rsid w:val="00497832"/>
    <w:rsid w:val="004D44F7"/>
    <w:rsid w:val="00520392"/>
    <w:rsid w:val="0052763F"/>
    <w:rsid w:val="005801FB"/>
    <w:rsid w:val="005D30AF"/>
    <w:rsid w:val="005E32E6"/>
    <w:rsid w:val="005E47C1"/>
    <w:rsid w:val="005F5285"/>
    <w:rsid w:val="0060326C"/>
    <w:rsid w:val="00607303"/>
    <w:rsid w:val="00613374"/>
    <w:rsid w:val="006300FD"/>
    <w:rsid w:val="006F7E68"/>
    <w:rsid w:val="007568FB"/>
    <w:rsid w:val="00784CCF"/>
    <w:rsid w:val="007B33A1"/>
    <w:rsid w:val="007B5EA8"/>
    <w:rsid w:val="007C3B41"/>
    <w:rsid w:val="00805BFB"/>
    <w:rsid w:val="008305BB"/>
    <w:rsid w:val="0083285A"/>
    <w:rsid w:val="0086104E"/>
    <w:rsid w:val="00875EB8"/>
    <w:rsid w:val="00881D3E"/>
    <w:rsid w:val="008979B2"/>
    <w:rsid w:val="008B2927"/>
    <w:rsid w:val="008C0E6F"/>
    <w:rsid w:val="00985F22"/>
    <w:rsid w:val="009A22EB"/>
    <w:rsid w:val="00A17977"/>
    <w:rsid w:val="00A2162E"/>
    <w:rsid w:val="00A8755E"/>
    <w:rsid w:val="00AB56AA"/>
    <w:rsid w:val="00AE6C27"/>
    <w:rsid w:val="00B94B08"/>
    <w:rsid w:val="00B97CF1"/>
    <w:rsid w:val="00BC2865"/>
    <w:rsid w:val="00BD76FD"/>
    <w:rsid w:val="00BF3B92"/>
    <w:rsid w:val="00C01BBF"/>
    <w:rsid w:val="00C020B0"/>
    <w:rsid w:val="00C4250F"/>
    <w:rsid w:val="00CA7951"/>
    <w:rsid w:val="00CB4A6D"/>
    <w:rsid w:val="00D04C04"/>
    <w:rsid w:val="00D06BA6"/>
    <w:rsid w:val="00D20907"/>
    <w:rsid w:val="00D3708E"/>
    <w:rsid w:val="00D52342"/>
    <w:rsid w:val="00D63ADD"/>
    <w:rsid w:val="00DE47DF"/>
    <w:rsid w:val="00DE6974"/>
    <w:rsid w:val="00E10ABD"/>
    <w:rsid w:val="00E561CD"/>
    <w:rsid w:val="00E86833"/>
    <w:rsid w:val="00EB792A"/>
    <w:rsid w:val="00F3521A"/>
    <w:rsid w:val="00FA41BF"/>
    <w:rsid w:val="00FA7E14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E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1E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4">
    <w:name w:val="xl104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9">
    <w:name w:val="xl109"/>
    <w:basedOn w:val="a"/>
    <w:rsid w:val="001E1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2432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Subtitle"/>
    <w:basedOn w:val="a"/>
    <w:link w:val="ad"/>
    <w:qFormat/>
    <w:rsid w:val="00243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24327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925C-E9BB-4BDF-8C98-949E4CB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14266</Words>
  <Characters>81319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cp:lastPrinted>2016-05-16T15:57:00Z</cp:lastPrinted>
  <dcterms:created xsi:type="dcterms:W3CDTF">2018-07-13T12:21:00Z</dcterms:created>
  <dcterms:modified xsi:type="dcterms:W3CDTF">2018-07-13T12:21:00Z</dcterms:modified>
</cp:coreProperties>
</file>